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9FDE5" w14:textId="77777777" w:rsidR="00BB3468" w:rsidRPr="00FF7688" w:rsidRDefault="00BB3468" w:rsidP="00BB3468">
      <w:pPr>
        <w:jc w:val="center"/>
        <w:rPr>
          <w:b/>
          <w:color w:val="767171" w:themeColor="background2" w:themeShade="80"/>
          <w:sz w:val="40"/>
          <w:szCs w:val="40"/>
        </w:rPr>
      </w:pPr>
      <w:r w:rsidRPr="00FF7688">
        <w:rPr>
          <w:b/>
          <w:color w:val="767171" w:themeColor="background2" w:themeShade="80"/>
          <w:sz w:val="40"/>
          <w:szCs w:val="40"/>
        </w:rPr>
        <w:t>Procédure</w:t>
      </w:r>
    </w:p>
    <w:p w14:paraId="298E3513" w14:textId="77777777" w:rsidR="00BB3468" w:rsidRPr="00FF7688" w:rsidRDefault="00BB3468" w:rsidP="00BB3468">
      <w:pPr>
        <w:jc w:val="center"/>
        <w:rPr>
          <w:b/>
          <w:color w:val="767171" w:themeColor="background2" w:themeShade="80"/>
          <w:sz w:val="40"/>
          <w:szCs w:val="40"/>
        </w:rPr>
      </w:pPr>
      <w:r w:rsidRPr="00FF7688">
        <w:rPr>
          <w:b/>
          <w:color w:val="767171" w:themeColor="background2" w:themeShade="80"/>
          <w:sz w:val="40"/>
          <w:szCs w:val="40"/>
        </w:rPr>
        <w:t xml:space="preserve">Guide à l’usage du candidat </w:t>
      </w:r>
    </w:p>
    <w:p w14:paraId="4F96EF8B" w14:textId="77777777" w:rsidR="00BB3468" w:rsidRPr="00FF7688" w:rsidRDefault="00BB3468" w:rsidP="00BB3468">
      <w:pPr>
        <w:jc w:val="center"/>
        <w:rPr>
          <w:b/>
          <w:color w:val="767171" w:themeColor="background2" w:themeShade="80"/>
          <w:sz w:val="40"/>
          <w:szCs w:val="40"/>
        </w:rPr>
      </w:pPr>
      <w:proofErr w:type="gramStart"/>
      <w:r w:rsidRPr="00FF7688">
        <w:rPr>
          <w:b/>
          <w:color w:val="767171" w:themeColor="background2" w:themeShade="80"/>
          <w:sz w:val="40"/>
          <w:szCs w:val="40"/>
        </w:rPr>
        <w:t>à</w:t>
      </w:r>
      <w:proofErr w:type="gramEnd"/>
      <w:r w:rsidRPr="00FF7688">
        <w:rPr>
          <w:b/>
          <w:color w:val="767171" w:themeColor="background2" w:themeShade="80"/>
          <w:sz w:val="40"/>
          <w:szCs w:val="40"/>
        </w:rPr>
        <w:t xml:space="preserve"> l’</w:t>
      </w:r>
      <w:r w:rsidRPr="00FF7688">
        <w:rPr>
          <w:b/>
          <w:color w:val="ED7D31" w:themeColor="accent2"/>
          <w:sz w:val="40"/>
          <w:szCs w:val="40"/>
        </w:rPr>
        <w:t>H</w:t>
      </w:r>
      <w:r w:rsidRPr="00FF7688">
        <w:rPr>
          <w:b/>
          <w:color w:val="767171" w:themeColor="background2" w:themeShade="80"/>
          <w:sz w:val="40"/>
          <w:szCs w:val="40"/>
        </w:rPr>
        <w:t xml:space="preserve">abilitation à </w:t>
      </w:r>
      <w:r w:rsidRPr="00FF7688">
        <w:rPr>
          <w:b/>
          <w:color w:val="ED7D31" w:themeColor="accent2"/>
          <w:sz w:val="40"/>
          <w:szCs w:val="40"/>
        </w:rPr>
        <w:t>D</w:t>
      </w:r>
      <w:r w:rsidRPr="00FF7688">
        <w:rPr>
          <w:b/>
          <w:color w:val="767171" w:themeColor="background2" w:themeShade="80"/>
          <w:sz w:val="40"/>
          <w:szCs w:val="40"/>
        </w:rPr>
        <w:t xml:space="preserve">iriger des </w:t>
      </w:r>
      <w:r w:rsidRPr="00FF7688">
        <w:rPr>
          <w:b/>
          <w:color w:val="ED7D31" w:themeColor="accent2"/>
          <w:sz w:val="40"/>
          <w:szCs w:val="40"/>
        </w:rPr>
        <w:t>R</w:t>
      </w:r>
      <w:r w:rsidRPr="00FF7688">
        <w:rPr>
          <w:b/>
          <w:color w:val="767171" w:themeColor="background2" w:themeShade="80"/>
          <w:sz w:val="40"/>
          <w:szCs w:val="40"/>
        </w:rPr>
        <w:t>echerches</w:t>
      </w:r>
    </w:p>
    <w:p w14:paraId="089046B8" w14:textId="77777777" w:rsidR="00FA15A1" w:rsidRDefault="00FA15A1" w:rsidP="00BB3468">
      <w:pPr>
        <w:rPr>
          <w:b/>
          <w:color w:val="ED7D31" w:themeColor="accent2"/>
          <w:sz w:val="28"/>
          <w:szCs w:val="28"/>
        </w:rPr>
      </w:pPr>
    </w:p>
    <w:p w14:paraId="36A8092D" w14:textId="42D53648" w:rsidR="00BB3468" w:rsidRPr="00F5361C" w:rsidRDefault="00BB3468" w:rsidP="00BB3468">
      <w:pPr>
        <w:rPr>
          <w:b/>
          <w:color w:val="ED7D31" w:themeColor="accent2"/>
          <w:sz w:val="28"/>
          <w:szCs w:val="28"/>
        </w:rPr>
      </w:pPr>
      <w:r w:rsidRPr="00F5361C">
        <w:rPr>
          <w:b/>
          <w:color w:val="ED7D31" w:themeColor="accent2"/>
          <w:sz w:val="28"/>
          <w:szCs w:val="28"/>
        </w:rPr>
        <w:t>Préambule</w:t>
      </w:r>
    </w:p>
    <w:p w14:paraId="6774E307" w14:textId="77777777"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 xml:space="preserve">Ce document a pour but de guider les candidats dans leurs démarches pour obtenir l’Habilitation à Diriger des Recherches « HDR » de l’Université de Perpignan Via </w:t>
      </w:r>
      <w:proofErr w:type="spellStart"/>
      <w:r w:rsidRPr="00FF7688">
        <w:rPr>
          <w:color w:val="3B3838" w:themeColor="background2" w:themeShade="40"/>
        </w:rPr>
        <w:t>Domitia</w:t>
      </w:r>
      <w:proofErr w:type="spellEnd"/>
      <w:r w:rsidRPr="00FF7688">
        <w:rPr>
          <w:color w:val="3B3838" w:themeColor="background2" w:themeShade="40"/>
        </w:rPr>
        <w:t xml:space="preserve">. </w:t>
      </w:r>
    </w:p>
    <w:p w14:paraId="0A368207" w14:textId="77777777" w:rsidR="00BB3468" w:rsidRPr="00FF7688" w:rsidRDefault="00BB3468" w:rsidP="00BB3468">
      <w:pPr>
        <w:spacing w:after="0" w:line="240" w:lineRule="auto"/>
        <w:jc w:val="both"/>
        <w:rPr>
          <w:color w:val="3B3838" w:themeColor="background2" w:themeShade="40"/>
        </w:rPr>
      </w:pPr>
    </w:p>
    <w:p w14:paraId="6826EB08" w14:textId="77777777" w:rsidR="00BB3468" w:rsidRPr="009805EF" w:rsidRDefault="00BB3468" w:rsidP="00BB3468">
      <w:pPr>
        <w:spacing w:after="0" w:line="240" w:lineRule="auto"/>
        <w:jc w:val="both"/>
        <w:rPr>
          <w:color w:val="3B3838" w:themeColor="background2" w:themeShade="40"/>
        </w:rPr>
      </w:pPr>
      <w:r w:rsidRPr="009805EF">
        <w:rPr>
          <w:color w:val="3B3838" w:themeColor="background2" w:themeShade="40"/>
        </w:rPr>
        <w:t>L’Habilitation à diriger des recherches est définie réglementairement par l'arrêté du 23 novembre 1988, dont l'article 1 stipule :</w:t>
      </w:r>
    </w:p>
    <w:p w14:paraId="38137D5B" w14:textId="77777777" w:rsidR="00BB3468" w:rsidRPr="009805EF" w:rsidRDefault="00BB3468" w:rsidP="00BB3468">
      <w:pPr>
        <w:spacing w:after="0" w:line="240" w:lineRule="auto"/>
        <w:jc w:val="both"/>
        <w:rPr>
          <w:color w:val="3B3838" w:themeColor="background2" w:themeShade="40"/>
        </w:rPr>
      </w:pPr>
    </w:p>
    <w:p w14:paraId="5EBCD1AA" w14:textId="77777777" w:rsidR="00BB3468" w:rsidRPr="00FF7688" w:rsidRDefault="00BB3468" w:rsidP="00BB3468">
      <w:pPr>
        <w:spacing w:after="0" w:line="240" w:lineRule="auto"/>
        <w:jc w:val="both"/>
        <w:rPr>
          <w:color w:val="3B3838" w:themeColor="background2" w:themeShade="40"/>
        </w:rPr>
      </w:pPr>
      <w:r w:rsidRPr="009805EF">
        <w:rPr>
          <w:i/>
          <w:color w:val="3B3838" w:themeColor="background2" w:themeShade="40"/>
        </w:rPr>
        <w:t>« L'habilitation à diriger des recherches sanctionne la reconnaissance du haut niveau scientifique du candidat, du caractère original de sa démarche dans un domaine de la science, de son aptitude à maîtriser une stratégie de recherche dans un domaine scientifique ou technologique suffisamment large et de sa capacité à encadrer de jeunes chercheurs. Elle permet notamment d'être candidat à l'accès au corps des professeurs des universit</w:t>
      </w:r>
      <w:r w:rsidRPr="009805EF">
        <w:rPr>
          <w:color w:val="3B3838" w:themeColor="background2" w:themeShade="40"/>
        </w:rPr>
        <w:t>és. »</w:t>
      </w:r>
    </w:p>
    <w:p w14:paraId="0CC45D26" w14:textId="77777777" w:rsidR="00BB3468" w:rsidRPr="00FF7688" w:rsidRDefault="00BB3468" w:rsidP="00BB3468">
      <w:pPr>
        <w:spacing w:after="0" w:line="240" w:lineRule="auto"/>
        <w:jc w:val="both"/>
        <w:rPr>
          <w:color w:val="3B3838" w:themeColor="background2" w:themeShade="40"/>
        </w:rPr>
      </w:pPr>
    </w:p>
    <w:p w14:paraId="64362DFB" w14:textId="77777777"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 xml:space="preserve">Le processus de demande d’Habilitation à Diriger des Recherches est composé de deux étapes : </w:t>
      </w:r>
    </w:p>
    <w:p w14:paraId="0D8ED259" w14:textId="77777777" w:rsidR="00BB3468" w:rsidRPr="00FF7688" w:rsidRDefault="00BB3468" w:rsidP="00BB3468">
      <w:pPr>
        <w:spacing w:after="0" w:line="240" w:lineRule="auto"/>
        <w:jc w:val="both"/>
        <w:rPr>
          <w:color w:val="3B3838" w:themeColor="background2" w:themeShade="40"/>
        </w:rPr>
      </w:pPr>
    </w:p>
    <w:p w14:paraId="3B2863D8" w14:textId="1CF1BBA5" w:rsidR="00BB3468" w:rsidRPr="00FF7688" w:rsidRDefault="00BB3468" w:rsidP="00BB3468">
      <w:pPr>
        <w:pStyle w:val="Paragraphedeliste"/>
        <w:numPr>
          <w:ilvl w:val="0"/>
          <w:numId w:val="13"/>
        </w:numPr>
        <w:spacing w:after="0" w:line="240" w:lineRule="auto"/>
        <w:rPr>
          <w:color w:val="3B3838" w:themeColor="background2" w:themeShade="40"/>
        </w:rPr>
      </w:pPr>
      <w:proofErr w:type="gramStart"/>
      <w:r w:rsidRPr="00FF7688">
        <w:rPr>
          <w:color w:val="3B3838" w:themeColor="background2" w:themeShade="40"/>
        </w:rPr>
        <w:t>l’inscription</w:t>
      </w:r>
      <w:proofErr w:type="gramEnd"/>
      <w:r w:rsidRPr="00FF7688">
        <w:rPr>
          <w:color w:val="3B3838" w:themeColor="background2" w:themeShade="40"/>
        </w:rPr>
        <w:t xml:space="preserve"> à l’HDR</w:t>
      </w:r>
      <w:r w:rsidR="006537B6">
        <w:rPr>
          <w:color w:val="3B3838" w:themeColor="background2" w:themeShade="40"/>
        </w:rPr>
        <w:t xml:space="preserve"> (2</w:t>
      </w:r>
      <w:r w:rsidR="009805EF">
        <w:rPr>
          <w:color w:val="3B3838" w:themeColor="background2" w:themeShade="40"/>
        </w:rPr>
        <w:t xml:space="preserve"> </w:t>
      </w:r>
      <w:r w:rsidR="006537B6">
        <w:rPr>
          <w:color w:val="3B3838" w:themeColor="background2" w:themeShade="40"/>
        </w:rPr>
        <w:t>à 3 mois</w:t>
      </w:r>
      <w:r w:rsidR="00D543E3">
        <w:rPr>
          <w:color w:val="3B3838" w:themeColor="background2" w:themeShade="40"/>
        </w:rPr>
        <w:t>, selon le calendrier de la Commission Recherche du Conseil Académique</w:t>
      </w:r>
      <w:r w:rsidR="006537B6">
        <w:rPr>
          <w:color w:val="3B3838" w:themeColor="background2" w:themeShade="40"/>
        </w:rPr>
        <w:t>)</w:t>
      </w:r>
      <w:r w:rsidRPr="00FF7688">
        <w:rPr>
          <w:color w:val="3B3838" w:themeColor="background2" w:themeShade="40"/>
        </w:rPr>
        <w:t>,</w:t>
      </w:r>
    </w:p>
    <w:p w14:paraId="178B2233" w14:textId="77777777" w:rsidR="00BB3468" w:rsidRPr="00FF7688" w:rsidRDefault="00BB3468" w:rsidP="00BB3468">
      <w:pPr>
        <w:pStyle w:val="Paragraphedeliste"/>
        <w:spacing w:after="0" w:line="240" w:lineRule="auto"/>
        <w:rPr>
          <w:color w:val="3B3838" w:themeColor="background2" w:themeShade="40"/>
        </w:rPr>
      </w:pPr>
    </w:p>
    <w:p w14:paraId="4FABB201" w14:textId="53A39BDA" w:rsidR="00BB3468" w:rsidRPr="00FF7688" w:rsidRDefault="00BB3468" w:rsidP="00BB3468">
      <w:pPr>
        <w:pStyle w:val="Paragraphedeliste"/>
        <w:numPr>
          <w:ilvl w:val="0"/>
          <w:numId w:val="13"/>
        </w:numPr>
        <w:spacing w:after="0" w:line="240" w:lineRule="auto"/>
        <w:rPr>
          <w:color w:val="3B3838" w:themeColor="background2" w:themeShade="40"/>
        </w:rPr>
      </w:pPr>
      <w:proofErr w:type="gramStart"/>
      <w:r w:rsidRPr="00FF7688">
        <w:rPr>
          <w:color w:val="3B3838" w:themeColor="background2" w:themeShade="40"/>
        </w:rPr>
        <w:t>l’organisation</w:t>
      </w:r>
      <w:proofErr w:type="gramEnd"/>
      <w:r w:rsidRPr="00FF7688">
        <w:rPr>
          <w:color w:val="3B3838" w:themeColor="background2" w:themeShade="40"/>
        </w:rPr>
        <w:t xml:space="preserve"> de la soutenance</w:t>
      </w:r>
      <w:r w:rsidR="006537B6">
        <w:rPr>
          <w:color w:val="3B3838" w:themeColor="background2" w:themeShade="40"/>
        </w:rPr>
        <w:t xml:space="preserve"> (2 à 3 mois)</w:t>
      </w:r>
      <w:r w:rsidRPr="00FF7688">
        <w:rPr>
          <w:color w:val="3B3838" w:themeColor="background2" w:themeShade="40"/>
        </w:rPr>
        <w:t>.</w:t>
      </w:r>
    </w:p>
    <w:p w14:paraId="08D8A20A" w14:textId="77777777" w:rsidR="00BB3468" w:rsidRPr="00FF7688" w:rsidRDefault="00BB3468" w:rsidP="00BB3468">
      <w:pPr>
        <w:pStyle w:val="Paragraphedeliste"/>
        <w:spacing w:after="0" w:line="240" w:lineRule="auto"/>
        <w:rPr>
          <w:color w:val="3B3838" w:themeColor="background2" w:themeShade="40"/>
        </w:rPr>
      </w:pPr>
    </w:p>
    <w:p w14:paraId="79CD0CA8" w14:textId="77777777"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Chaque étape devra faire l’objet d’un dépôt de dossier auprès du Service Recherche et Valorisation.</w:t>
      </w:r>
    </w:p>
    <w:p w14:paraId="4A6B7D9F" w14:textId="77777777" w:rsidR="00BB3468" w:rsidRPr="00FF7688" w:rsidRDefault="00BB3468" w:rsidP="00BB3468">
      <w:pPr>
        <w:spacing w:after="0" w:line="240" w:lineRule="auto"/>
        <w:jc w:val="both"/>
        <w:rPr>
          <w:color w:val="3B3838" w:themeColor="background2" w:themeShade="40"/>
        </w:rPr>
      </w:pPr>
    </w:p>
    <w:p w14:paraId="18BF0884" w14:textId="73064CA6"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Le</w:t>
      </w:r>
      <w:r w:rsidR="006537B6">
        <w:rPr>
          <w:color w:val="3B3838" w:themeColor="background2" w:themeShade="40"/>
        </w:rPr>
        <w:t>s délais indiqués ci-dessus</w:t>
      </w:r>
      <w:r w:rsidRPr="00FF7688">
        <w:rPr>
          <w:color w:val="3B3838" w:themeColor="background2" w:themeShade="40"/>
        </w:rPr>
        <w:t xml:space="preserve"> correspond</w:t>
      </w:r>
      <w:r w:rsidR="006537B6">
        <w:rPr>
          <w:color w:val="3B3838" w:themeColor="background2" w:themeShade="40"/>
        </w:rPr>
        <w:t>ent</w:t>
      </w:r>
      <w:r w:rsidRPr="00FF7688">
        <w:rPr>
          <w:color w:val="3B3838" w:themeColor="background2" w:themeShade="40"/>
        </w:rPr>
        <w:t xml:space="preserve"> aux délais </w:t>
      </w:r>
      <w:r w:rsidR="00E237D6" w:rsidRPr="00FF7688">
        <w:rPr>
          <w:color w:val="3B3838" w:themeColor="background2" w:themeShade="40"/>
        </w:rPr>
        <w:t>minimum</w:t>
      </w:r>
      <w:r w:rsidR="00E237D6">
        <w:rPr>
          <w:color w:val="3B3838" w:themeColor="background2" w:themeShade="40"/>
        </w:rPr>
        <w:t xml:space="preserve"> </w:t>
      </w:r>
      <w:r w:rsidRPr="00FF7688">
        <w:rPr>
          <w:color w:val="3B3838" w:themeColor="background2" w:themeShade="40"/>
        </w:rPr>
        <w:t xml:space="preserve">pour permettre aux différents intervenants </w:t>
      </w:r>
      <w:r w:rsidR="002732C6">
        <w:rPr>
          <w:color w:val="3B3838" w:themeColor="background2" w:themeShade="40"/>
        </w:rPr>
        <w:t xml:space="preserve">(pré-rapporteurs, rapporteurs…) </w:t>
      </w:r>
      <w:r w:rsidRPr="00FF7688">
        <w:rPr>
          <w:color w:val="3B3838" w:themeColor="background2" w:themeShade="40"/>
        </w:rPr>
        <w:t>de prendre des décisions sereines, réfléchies et motivées.</w:t>
      </w:r>
    </w:p>
    <w:p w14:paraId="73B67BED" w14:textId="77777777" w:rsidR="00BB3468" w:rsidRPr="00FF7688" w:rsidRDefault="00BB3468" w:rsidP="00BB3468">
      <w:pPr>
        <w:spacing w:after="0" w:line="240" w:lineRule="auto"/>
        <w:jc w:val="both"/>
        <w:rPr>
          <w:color w:val="3B3838" w:themeColor="background2" w:themeShade="40"/>
        </w:rPr>
      </w:pPr>
    </w:p>
    <w:p w14:paraId="3ABD3A58" w14:textId="58EF56BD"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 xml:space="preserve">Ce calendrier suppose aussi que l’ensemble des intervenants agiront dans les plus brefs délais et dans le sens escompté par le candidat. En cas de contrainte forte sur la date de soutenance, les candidats sont invités à </w:t>
      </w:r>
      <w:r w:rsidR="006537B6" w:rsidRPr="00FF7688">
        <w:rPr>
          <w:color w:val="3B3838" w:themeColor="background2" w:themeShade="40"/>
        </w:rPr>
        <w:t>a</w:t>
      </w:r>
      <w:r w:rsidR="006537B6">
        <w:rPr>
          <w:color w:val="3B3838" w:themeColor="background2" w:themeShade="40"/>
        </w:rPr>
        <w:t>nticipe</w:t>
      </w:r>
      <w:r w:rsidR="006537B6" w:rsidRPr="00FF7688">
        <w:rPr>
          <w:color w:val="3B3838" w:themeColor="background2" w:themeShade="40"/>
        </w:rPr>
        <w:t xml:space="preserve">r </w:t>
      </w:r>
      <w:r w:rsidRPr="00FF7688">
        <w:rPr>
          <w:color w:val="3B3838" w:themeColor="background2" w:themeShade="40"/>
        </w:rPr>
        <w:t>ces délais pour augmenter les chances d’une soutenance à la date souhaitée.</w:t>
      </w:r>
    </w:p>
    <w:p w14:paraId="08741691" w14:textId="77777777" w:rsidR="00BB3468" w:rsidRPr="00FF7688" w:rsidRDefault="00BB3468" w:rsidP="00BB3468">
      <w:pPr>
        <w:spacing w:after="0" w:line="240" w:lineRule="auto"/>
        <w:jc w:val="both"/>
        <w:rPr>
          <w:color w:val="3B3838" w:themeColor="background2" w:themeShade="40"/>
        </w:rPr>
      </w:pPr>
    </w:p>
    <w:p w14:paraId="6EEA9072" w14:textId="77777777" w:rsidR="00BB3468" w:rsidRPr="00FF7688" w:rsidRDefault="00BB3468" w:rsidP="00BB3468">
      <w:pPr>
        <w:spacing w:after="0" w:line="240" w:lineRule="auto"/>
        <w:rPr>
          <w:color w:val="3B3838" w:themeColor="background2" w:themeShade="40"/>
        </w:rPr>
      </w:pPr>
      <w:r w:rsidRPr="00FF7688">
        <w:rPr>
          <w:color w:val="3B3838" w:themeColor="background2" w:themeShade="40"/>
        </w:rPr>
        <w:t>Les périodes de fermeture des services (petites vacances et congés annuels) viennent s’ajouter au calendrier présenté.</w:t>
      </w:r>
    </w:p>
    <w:p w14:paraId="37B467DD" w14:textId="77777777" w:rsidR="00BB3468" w:rsidRPr="00FF7688" w:rsidRDefault="00BB3468" w:rsidP="00BB3468">
      <w:pPr>
        <w:rPr>
          <w:b/>
          <w:color w:val="3B3838" w:themeColor="background2" w:themeShade="40"/>
        </w:rPr>
      </w:pPr>
      <w:r w:rsidRPr="00FF7688">
        <w:rPr>
          <w:b/>
          <w:color w:val="3B3838" w:themeColor="background2" w:themeShade="40"/>
        </w:rPr>
        <w:br w:type="page"/>
      </w:r>
    </w:p>
    <w:p w14:paraId="1F016C45" w14:textId="6BAEE682" w:rsidR="00BB3468" w:rsidRPr="00C6193A" w:rsidRDefault="00BB3468" w:rsidP="00BB3468">
      <w:pPr>
        <w:rPr>
          <w:b/>
          <w:color w:val="ED7D31" w:themeColor="accent2"/>
          <w:sz w:val="28"/>
          <w:szCs w:val="28"/>
        </w:rPr>
      </w:pPr>
      <w:r w:rsidRPr="00C6193A">
        <w:rPr>
          <w:b/>
          <w:color w:val="ED7D31" w:themeColor="accent2"/>
          <w:sz w:val="28"/>
          <w:szCs w:val="28"/>
        </w:rPr>
        <w:lastRenderedPageBreak/>
        <w:t>ETAPE 1</w:t>
      </w:r>
      <w:r w:rsidR="00965347">
        <w:rPr>
          <w:b/>
          <w:color w:val="ED7D31" w:themeColor="accent2"/>
          <w:sz w:val="28"/>
          <w:szCs w:val="28"/>
        </w:rPr>
        <w:t xml:space="preserve"> - I</w:t>
      </w:r>
      <w:r w:rsidRPr="00C6193A">
        <w:rPr>
          <w:b/>
          <w:color w:val="ED7D31" w:themeColor="accent2"/>
          <w:sz w:val="28"/>
          <w:szCs w:val="28"/>
        </w:rPr>
        <w:t>nscription à l’HDR</w:t>
      </w:r>
    </w:p>
    <w:p w14:paraId="14A34486" w14:textId="678AC98B" w:rsidR="00BB3468" w:rsidRPr="00FF7688" w:rsidRDefault="00BB3468" w:rsidP="00BB3468">
      <w:pPr>
        <w:autoSpaceDE w:val="0"/>
        <w:autoSpaceDN w:val="0"/>
        <w:adjustRightInd w:val="0"/>
        <w:spacing w:after="0" w:line="240" w:lineRule="auto"/>
        <w:jc w:val="both"/>
        <w:rPr>
          <w:rFonts w:cstheme="minorHAnsi"/>
          <w:color w:val="3B3838" w:themeColor="background2" w:themeShade="40"/>
        </w:rPr>
      </w:pPr>
      <w:r w:rsidRPr="00FF7688">
        <w:rPr>
          <w:rFonts w:cstheme="minorHAnsi"/>
          <w:color w:val="3B3838" w:themeColor="background2" w:themeShade="40"/>
        </w:rPr>
        <w:t>Cette étape consiste à préparer l’inscription du candidat à l’Habilitation à Diriger des Recherches. Celui-ci pourra déposer auprès du SRV son dossier d’inscription à l’HDR dans l’année où il souhaite soutenir son habilitation.</w:t>
      </w:r>
    </w:p>
    <w:p w14:paraId="568877A9" w14:textId="77777777" w:rsidR="00BB3468" w:rsidRPr="00FF7688" w:rsidRDefault="00BB3468" w:rsidP="00BB3468">
      <w:pPr>
        <w:autoSpaceDE w:val="0"/>
        <w:autoSpaceDN w:val="0"/>
        <w:adjustRightInd w:val="0"/>
        <w:spacing w:after="0" w:line="240" w:lineRule="auto"/>
        <w:jc w:val="both"/>
        <w:rPr>
          <w:rFonts w:cstheme="minorHAnsi"/>
          <w:color w:val="3B3838" w:themeColor="background2" w:themeShade="40"/>
        </w:rPr>
      </w:pPr>
    </w:p>
    <w:p w14:paraId="4C6363F6" w14:textId="03A78987" w:rsidR="00BB3468" w:rsidRPr="00FF7688" w:rsidRDefault="00BB3468" w:rsidP="00BB3468">
      <w:pPr>
        <w:autoSpaceDE w:val="0"/>
        <w:autoSpaceDN w:val="0"/>
        <w:adjustRightInd w:val="0"/>
        <w:spacing w:after="0" w:line="240" w:lineRule="auto"/>
        <w:jc w:val="both"/>
        <w:rPr>
          <w:rFonts w:cstheme="minorHAnsi"/>
          <w:color w:val="3B3838" w:themeColor="background2" w:themeShade="40"/>
        </w:rPr>
      </w:pPr>
      <w:r w:rsidRPr="00FF7688">
        <w:rPr>
          <w:rFonts w:cstheme="minorHAnsi"/>
          <w:color w:val="3B3838" w:themeColor="background2" w:themeShade="40"/>
        </w:rPr>
        <w:t>Les demandes d'inscription ne peuvent être déposées au cours d'une même année universitaire qu'auprès d'un seul établissement. Les candidats ayant déjà été inscrits en vue de</w:t>
      </w:r>
      <w:r w:rsidR="002732C6">
        <w:rPr>
          <w:rFonts w:cstheme="minorHAnsi"/>
          <w:color w:val="3B3838" w:themeColor="background2" w:themeShade="40"/>
        </w:rPr>
        <w:t xml:space="preserve"> l’obtention de</w:t>
      </w:r>
      <w:r w:rsidRPr="00FF7688">
        <w:rPr>
          <w:rFonts w:cstheme="minorHAnsi"/>
          <w:color w:val="3B3838" w:themeColor="background2" w:themeShade="40"/>
        </w:rPr>
        <w:t xml:space="preserve"> ce diplôme dans un autre établissement sont tenus de le signaler.</w:t>
      </w:r>
    </w:p>
    <w:p w14:paraId="1BFEBED8" w14:textId="77777777" w:rsidR="00BB3468" w:rsidRPr="00FF7688" w:rsidRDefault="00BB3468" w:rsidP="00BB3468">
      <w:pPr>
        <w:pStyle w:val="Paragraphedeliste"/>
        <w:tabs>
          <w:tab w:val="left" w:pos="567"/>
        </w:tabs>
        <w:spacing w:after="0" w:line="240" w:lineRule="auto"/>
        <w:ind w:left="567"/>
        <w:jc w:val="both"/>
        <w:rPr>
          <w:b/>
          <w:color w:val="3B3838" w:themeColor="background2" w:themeShade="40"/>
          <w:sz w:val="24"/>
          <w:szCs w:val="24"/>
        </w:rPr>
      </w:pPr>
    </w:p>
    <w:p w14:paraId="16EC1C38" w14:textId="5262B642" w:rsidR="00BB3468" w:rsidRPr="00FA15A1" w:rsidRDefault="00BB3468" w:rsidP="00BB3468">
      <w:pPr>
        <w:tabs>
          <w:tab w:val="left" w:pos="567"/>
        </w:tabs>
        <w:spacing w:after="0" w:line="240" w:lineRule="auto"/>
        <w:jc w:val="both"/>
        <w:rPr>
          <w:b/>
          <w:color w:val="3B3838" w:themeColor="background2" w:themeShade="40"/>
          <w:sz w:val="24"/>
          <w:szCs w:val="24"/>
        </w:rPr>
      </w:pPr>
      <w:r w:rsidRPr="00FA15A1">
        <w:rPr>
          <w:b/>
          <w:color w:val="3B3838" w:themeColor="background2" w:themeShade="40"/>
          <w:sz w:val="24"/>
          <w:szCs w:val="24"/>
        </w:rPr>
        <w:t xml:space="preserve">CONSTITUTION DU DOSSIER </w:t>
      </w:r>
      <w:r w:rsidR="006537B6" w:rsidRPr="00FA15A1">
        <w:rPr>
          <w:b/>
          <w:color w:val="3B3838" w:themeColor="background2" w:themeShade="40"/>
          <w:sz w:val="24"/>
          <w:szCs w:val="24"/>
        </w:rPr>
        <w:t xml:space="preserve">DE DEMANDE </w:t>
      </w:r>
      <w:r w:rsidRPr="00FA15A1">
        <w:rPr>
          <w:b/>
          <w:color w:val="3B3838" w:themeColor="background2" w:themeShade="40"/>
          <w:sz w:val="24"/>
          <w:szCs w:val="24"/>
        </w:rPr>
        <w:t>D’INSCRIPTION (Annexe A)</w:t>
      </w:r>
    </w:p>
    <w:p w14:paraId="7B034936" w14:textId="77777777" w:rsidR="00BB3468" w:rsidRPr="00FA15A1" w:rsidRDefault="00BB3468" w:rsidP="00BB3468">
      <w:pPr>
        <w:autoSpaceDE w:val="0"/>
        <w:autoSpaceDN w:val="0"/>
        <w:adjustRightInd w:val="0"/>
        <w:spacing w:after="0" w:line="240" w:lineRule="auto"/>
        <w:ind w:left="567"/>
        <w:jc w:val="both"/>
        <w:rPr>
          <w:rFonts w:cstheme="minorHAnsi"/>
          <w:b/>
          <w:color w:val="3B3838" w:themeColor="background2" w:themeShade="40"/>
        </w:rPr>
      </w:pPr>
    </w:p>
    <w:p w14:paraId="481C97A6" w14:textId="78B3B8F8" w:rsidR="00BB3468" w:rsidRPr="00FA15A1" w:rsidRDefault="00BB3468" w:rsidP="00BB3468">
      <w:pPr>
        <w:pStyle w:val="Paragraphedeliste"/>
        <w:tabs>
          <w:tab w:val="left" w:pos="0"/>
        </w:tabs>
        <w:spacing w:after="0" w:line="240" w:lineRule="auto"/>
        <w:ind w:left="0"/>
        <w:jc w:val="both"/>
        <w:rPr>
          <w:rFonts w:cstheme="minorHAnsi"/>
          <w:color w:val="3B3838" w:themeColor="background2" w:themeShade="40"/>
        </w:rPr>
      </w:pPr>
      <w:r w:rsidRPr="00FA15A1">
        <w:rPr>
          <w:rFonts w:cstheme="minorHAnsi"/>
          <w:color w:val="3B3838" w:themeColor="background2" w:themeShade="40"/>
        </w:rPr>
        <w:t>Le dossier d’inscription est constitué de l’annexe A «</w:t>
      </w:r>
      <w:r w:rsidRPr="00FA15A1">
        <w:rPr>
          <w:rFonts w:cstheme="minorHAnsi"/>
          <w:i/>
          <w:color w:val="3B3838" w:themeColor="background2" w:themeShade="40"/>
        </w:rPr>
        <w:t> Demande d’inscription </w:t>
      </w:r>
      <w:r w:rsidRPr="00FA15A1">
        <w:rPr>
          <w:rFonts w:cstheme="minorHAnsi"/>
          <w:color w:val="3B3838" w:themeColor="background2" w:themeShade="40"/>
        </w:rPr>
        <w:t xml:space="preserve">» ainsi que de toutes les pièces à fournir détaillées dans </w:t>
      </w:r>
      <w:r w:rsidR="00D543E3" w:rsidRPr="00FA15A1">
        <w:rPr>
          <w:rFonts w:cstheme="minorHAnsi"/>
          <w:color w:val="3B3838" w:themeColor="background2" w:themeShade="40"/>
        </w:rPr>
        <w:t>le</w:t>
      </w:r>
      <w:r w:rsidRPr="00FA15A1">
        <w:rPr>
          <w:rFonts w:cstheme="minorHAnsi"/>
          <w:color w:val="3B3838" w:themeColor="background2" w:themeShade="40"/>
        </w:rPr>
        <w:t xml:space="preserve"> « </w:t>
      </w:r>
      <w:r w:rsidRPr="00FA15A1">
        <w:rPr>
          <w:rFonts w:cstheme="minorHAnsi"/>
          <w:i/>
          <w:color w:val="3B3838" w:themeColor="background2" w:themeShade="40"/>
        </w:rPr>
        <w:t>Dossier de candidature à l’HDR</w:t>
      </w:r>
      <w:r w:rsidRPr="00FA15A1">
        <w:rPr>
          <w:rFonts w:cstheme="minorHAnsi"/>
          <w:color w:val="3B3838" w:themeColor="background2" w:themeShade="40"/>
        </w:rPr>
        <w:t> »</w:t>
      </w:r>
      <w:r w:rsidR="00D543E3" w:rsidRPr="00FA15A1">
        <w:rPr>
          <w:rFonts w:cstheme="minorHAnsi"/>
          <w:color w:val="3B3838" w:themeColor="background2" w:themeShade="40"/>
        </w:rPr>
        <w:t xml:space="preserve"> </w:t>
      </w:r>
      <w:r w:rsidR="002732C6">
        <w:rPr>
          <w:rFonts w:cstheme="minorHAnsi"/>
          <w:color w:val="3B3838" w:themeColor="background2" w:themeShade="40"/>
        </w:rPr>
        <w:t xml:space="preserve">qui seraient </w:t>
      </w:r>
      <w:r w:rsidR="00D543E3" w:rsidRPr="00FA15A1">
        <w:rPr>
          <w:rFonts w:cstheme="minorHAnsi"/>
          <w:color w:val="3B3838" w:themeColor="background2" w:themeShade="40"/>
        </w:rPr>
        <w:t>pertinent</w:t>
      </w:r>
      <w:r w:rsidR="002732C6">
        <w:rPr>
          <w:rFonts w:cstheme="minorHAnsi"/>
          <w:color w:val="3B3838" w:themeColor="background2" w:themeShade="40"/>
        </w:rPr>
        <w:t>es</w:t>
      </w:r>
      <w:r w:rsidR="00D543E3" w:rsidRPr="00FA15A1">
        <w:rPr>
          <w:rFonts w:cstheme="minorHAnsi"/>
          <w:color w:val="3B3838" w:themeColor="background2" w:themeShade="40"/>
        </w:rPr>
        <w:t xml:space="preserve"> selon la section CNU du candidat</w:t>
      </w:r>
      <w:r w:rsidRPr="00FA15A1">
        <w:rPr>
          <w:rFonts w:cstheme="minorHAnsi"/>
          <w:color w:val="3B3838" w:themeColor="background2" w:themeShade="40"/>
        </w:rPr>
        <w:t>.</w:t>
      </w:r>
    </w:p>
    <w:p w14:paraId="7A8DE8B7" w14:textId="77777777" w:rsidR="00794A52" w:rsidRPr="00FA15A1" w:rsidRDefault="00794A52">
      <w:pPr>
        <w:pStyle w:val="Paragraphedeliste"/>
        <w:tabs>
          <w:tab w:val="left" w:pos="0"/>
        </w:tabs>
        <w:spacing w:after="0" w:line="240" w:lineRule="auto"/>
        <w:ind w:left="0"/>
        <w:jc w:val="both"/>
        <w:rPr>
          <w:rFonts w:cstheme="minorHAnsi"/>
          <w:color w:val="3B3838" w:themeColor="background2" w:themeShade="40"/>
        </w:rPr>
      </w:pPr>
    </w:p>
    <w:p w14:paraId="2B51917E" w14:textId="2FCA2F86" w:rsidR="00BB3468" w:rsidRPr="00FA15A1" w:rsidRDefault="00BB3468" w:rsidP="009805EF">
      <w:pPr>
        <w:pStyle w:val="Paragraphedeliste"/>
        <w:tabs>
          <w:tab w:val="left" w:pos="0"/>
        </w:tabs>
        <w:spacing w:after="0" w:line="240" w:lineRule="auto"/>
        <w:ind w:left="0"/>
        <w:jc w:val="both"/>
      </w:pPr>
      <w:r w:rsidRPr="00FA15A1">
        <w:rPr>
          <w:rFonts w:cstheme="minorHAnsi"/>
          <w:color w:val="3B3838" w:themeColor="background2" w:themeShade="40"/>
        </w:rPr>
        <w:t>Le candidat propose dans l’annexe A </w:t>
      </w:r>
      <w:r w:rsidRPr="00FA15A1">
        <w:t xml:space="preserve">deux </w:t>
      </w:r>
      <w:r w:rsidR="00E237D6" w:rsidRPr="00FA15A1">
        <w:t>pré-</w:t>
      </w:r>
      <w:r w:rsidRPr="00FA15A1">
        <w:t>rapporteurs extérieurs (qu’il serait souhaitable de conserver dans la proposition des rapporteurs pour l’autorisation à soutenir)</w:t>
      </w:r>
      <w:r w:rsidR="00E237D6" w:rsidRPr="00FA15A1">
        <w:t xml:space="preserve">. </w:t>
      </w:r>
    </w:p>
    <w:p w14:paraId="1573E17C" w14:textId="77777777" w:rsidR="00BB3468" w:rsidRPr="00FA15A1" w:rsidRDefault="00BB3468" w:rsidP="00BB3468">
      <w:pPr>
        <w:pStyle w:val="Paragraphedeliste"/>
        <w:tabs>
          <w:tab w:val="left" w:pos="567"/>
        </w:tabs>
        <w:spacing w:after="0" w:line="240" w:lineRule="auto"/>
        <w:ind w:left="567"/>
        <w:jc w:val="both"/>
        <w:rPr>
          <w:b/>
          <w:color w:val="3B3838" w:themeColor="background2" w:themeShade="40"/>
          <w:sz w:val="24"/>
          <w:szCs w:val="24"/>
        </w:rPr>
      </w:pPr>
    </w:p>
    <w:p w14:paraId="199E1DCD" w14:textId="77777777" w:rsidR="00BB3468" w:rsidRPr="00FA15A1" w:rsidRDefault="00BB3468" w:rsidP="00BB3468">
      <w:pPr>
        <w:tabs>
          <w:tab w:val="left" w:pos="567"/>
        </w:tabs>
        <w:spacing w:after="0" w:line="240" w:lineRule="auto"/>
        <w:jc w:val="both"/>
        <w:rPr>
          <w:b/>
          <w:color w:val="3B3838" w:themeColor="background2" w:themeShade="40"/>
          <w:sz w:val="24"/>
          <w:szCs w:val="24"/>
        </w:rPr>
      </w:pPr>
      <w:r w:rsidRPr="00FA15A1">
        <w:rPr>
          <w:b/>
          <w:color w:val="3B3838" w:themeColor="background2" w:themeShade="40"/>
          <w:sz w:val="24"/>
          <w:szCs w:val="24"/>
        </w:rPr>
        <w:t xml:space="preserve">PROCEDURE </w:t>
      </w:r>
    </w:p>
    <w:p w14:paraId="61EA0D73" w14:textId="77777777" w:rsidR="00BB3468" w:rsidRPr="00FF7688" w:rsidRDefault="00BB3468" w:rsidP="00BB3468">
      <w:pPr>
        <w:tabs>
          <w:tab w:val="left" w:pos="567"/>
        </w:tabs>
        <w:spacing w:after="0" w:line="240" w:lineRule="auto"/>
        <w:jc w:val="both"/>
        <w:rPr>
          <w:b/>
          <w:color w:val="3B3838" w:themeColor="background2" w:themeShade="40"/>
          <w:highlight w:val="yellow"/>
        </w:rPr>
      </w:pPr>
    </w:p>
    <w:p w14:paraId="6B12D5A8" w14:textId="77777777" w:rsidR="00BB3468" w:rsidRPr="00FF7688" w:rsidRDefault="00BB3468" w:rsidP="00BB3468">
      <w:pPr>
        <w:pStyle w:val="Paragraphedeliste"/>
        <w:numPr>
          <w:ilvl w:val="0"/>
          <w:numId w:val="10"/>
        </w:numPr>
        <w:tabs>
          <w:tab w:val="left" w:pos="567"/>
          <w:tab w:val="left" w:pos="1418"/>
        </w:tabs>
        <w:spacing w:after="0" w:line="240" w:lineRule="auto"/>
        <w:ind w:left="567" w:hanging="567"/>
        <w:jc w:val="both"/>
        <w:rPr>
          <w:b/>
          <w:color w:val="3B3838" w:themeColor="background2" w:themeShade="40"/>
          <w:sz w:val="24"/>
          <w:szCs w:val="24"/>
        </w:rPr>
      </w:pPr>
      <w:r w:rsidRPr="00FF7688">
        <w:rPr>
          <w:b/>
          <w:color w:val="3B3838" w:themeColor="background2" w:themeShade="40"/>
          <w:sz w:val="24"/>
          <w:szCs w:val="24"/>
        </w:rPr>
        <w:t>Désignation des pré-rapporteurs </w:t>
      </w:r>
    </w:p>
    <w:p w14:paraId="4C9B88EA" w14:textId="77777777" w:rsidR="00BB3468" w:rsidRPr="00FF7688" w:rsidRDefault="00BB3468" w:rsidP="00BB3468">
      <w:pPr>
        <w:pStyle w:val="Paragraphedeliste"/>
        <w:tabs>
          <w:tab w:val="left" w:pos="567"/>
          <w:tab w:val="left" w:pos="1418"/>
        </w:tabs>
        <w:spacing w:after="0" w:line="240" w:lineRule="auto"/>
        <w:ind w:left="567"/>
        <w:jc w:val="both"/>
        <w:rPr>
          <w:b/>
          <w:color w:val="3B3838" w:themeColor="background2" w:themeShade="40"/>
        </w:rPr>
      </w:pPr>
    </w:p>
    <w:p w14:paraId="05E04EA8" w14:textId="77777777" w:rsidR="00BB3468" w:rsidRPr="00FF7688" w:rsidRDefault="00BB3468" w:rsidP="00BB3468">
      <w:pPr>
        <w:tabs>
          <w:tab w:val="left" w:pos="709"/>
        </w:tabs>
        <w:spacing w:after="180" w:line="240" w:lineRule="auto"/>
        <w:ind w:left="567" w:hanging="567"/>
        <w:jc w:val="both"/>
        <w:rPr>
          <w:rFonts w:cs="Open Sans"/>
          <w:b/>
          <w:color w:val="3B3838" w:themeColor="background2" w:themeShade="40"/>
        </w:rPr>
      </w:pPr>
      <w:r w:rsidRPr="00FF7688">
        <w:rPr>
          <w:rFonts w:cs="Open Sans"/>
          <w:b/>
          <w:color w:val="3B3838" w:themeColor="background2" w:themeShade="40"/>
        </w:rPr>
        <w:tab/>
        <w:t xml:space="preserve">La proposition des pré-rapporteurs en vue de l’inscription à l’habilitation à diriger des recherches </w:t>
      </w:r>
      <w:r w:rsidRPr="00FF7688">
        <w:rPr>
          <w:rFonts w:cs="Open Sans"/>
          <w:color w:val="3B3838" w:themeColor="background2" w:themeShade="40"/>
        </w:rPr>
        <w:t xml:space="preserve">(Annexe A) est examinée par la Commission Recherche du Conseil Académique (CR) restreint aux HDR. À l’issue du conseil, le Service Recherche et Valorisation informe le candidat de l’avis du conseil sur les pré-rapporteurs proposés. </w:t>
      </w:r>
    </w:p>
    <w:p w14:paraId="093627C0" w14:textId="77777777" w:rsidR="00BB3468" w:rsidRPr="00FF7688" w:rsidRDefault="00BB3468" w:rsidP="004364ED">
      <w:pPr>
        <w:spacing w:after="0" w:line="240" w:lineRule="auto"/>
        <w:ind w:left="1134" w:hanging="567"/>
        <w:jc w:val="both"/>
        <w:rPr>
          <w:rFonts w:cs="Open Sans"/>
          <w:i/>
          <w:color w:val="3B3838" w:themeColor="background2" w:themeShade="40"/>
        </w:rPr>
      </w:pPr>
      <w:r w:rsidRPr="008A3968">
        <w:rPr>
          <w:rFonts w:cs="Open Sans"/>
          <w:color w:val="ED7D31" w:themeColor="accent2"/>
          <w:sz w:val="32"/>
          <w:szCs w:val="32"/>
          <w:shd w:val="clear" w:color="auto" w:fill="FFFFFF"/>
        </w:rPr>
        <w:sym w:font="Wingdings" w:char="F0C4"/>
      </w:r>
      <w:r w:rsidRPr="008A3968">
        <w:rPr>
          <w:rFonts w:cs="Open Sans"/>
          <w:shd w:val="clear" w:color="auto" w:fill="FFFFFF"/>
        </w:rPr>
        <w:t xml:space="preserve"> </w:t>
      </w:r>
      <w:r w:rsidRPr="008A3968">
        <w:rPr>
          <w:rFonts w:cs="Open Sans"/>
          <w:shd w:val="clear" w:color="auto" w:fill="FFFFFF"/>
        </w:rPr>
        <w:tab/>
      </w:r>
      <w:r w:rsidRPr="00FF7688">
        <w:rPr>
          <w:rFonts w:cs="Open Sans"/>
          <w:color w:val="3B3838" w:themeColor="background2" w:themeShade="40"/>
          <w:shd w:val="clear" w:color="auto" w:fill="FFFFFF"/>
        </w:rPr>
        <w:t xml:space="preserve">En cas d’acceptation, le candidat </w:t>
      </w:r>
      <w:r w:rsidR="004364ED" w:rsidRPr="00FF7688">
        <w:rPr>
          <w:rFonts w:cs="Open Sans"/>
          <w:color w:val="3B3838" w:themeColor="background2" w:themeShade="40"/>
          <w:shd w:val="clear" w:color="auto" w:fill="FFFFFF"/>
        </w:rPr>
        <w:t xml:space="preserve">fait parvenir aux </w:t>
      </w:r>
      <w:r w:rsidR="00E237D6">
        <w:rPr>
          <w:rFonts w:cs="Open Sans"/>
          <w:color w:val="3B3838" w:themeColor="background2" w:themeShade="40"/>
          <w:shd w:val="clear" w:color="auto" w:fill="FFFFFF"/>
        </w:rPr>
        <w:t>pré-</w:t>
      </w:r>
      <w:r w:rsidR="004364ED" w:rsidRPr="00FF7688">
        <w:rPr>
          <w:rFonts w:cs="Open Sans"/>
          <w:color w:val="3B3838" w:themeColor="background2" w:themeShade="40"/>
          <w:shd w:val="clear" w:color="auto" w:fill="FFFFFF"/>
        </w:rPr>
        <w:t>rapporteurs :</w:t>
      </w:r>
    </w:p>
    <w:p w14:paraId="7D9FA45F" w14:textId="77777777" w:rsidR="00BB3468" w:rsidRPr="00FF7688" w:rsidRDefault="00BB3468" w:rsidP="004364ED">
      <w:pPr>
        <w:pStyle w:val="Paragraphedeliste"/>
        <w:numPr>
          <w:ilvl w:val="0"/>
          <w:numId w:val="11"/>
        </w:numPr>
        <w:spacing w:after="0" w:line="240" w:lineRule="auto"/>
        <w:ind w:left="1418" w:hanging="284"/>
        <w:jc w:val="both"/>
        <w:rPr>
          <w:rFonts w:ascii="Calibri" w:hAnsi="Calibri" w:cs="Open Sans"/>
          <w:color w:val="3B3838" w:themeColor="background2" w:themeShade="40"/>
        </w:rPr>
      </w:pPr>
      <w:proofErr w:type="gramStart"/>
      <w:r w:rsidRPr="00FF7688">
        <w:rPr>
          <w:rFonts w:ascii="Calibri" w:hAnsi="Calibri" w:cs="Open Sans"/>
          <w:color w:val="3B3838" w:themeColor="background2" w:themeShade="40"/>
          <w:shd w:val="clear" w:color="auto" w:fill="FFFFFF"/>
        </w:rPr>
        <w:t>un</w:t>
      </w:r>
      <w:proofErr w:type="gramEnd"/>
      <w:r w:rsidRPr="00FF7688">
        <w:rPr>
          <w:rFonts w:ascii="Calibri" w:hAnsi="Calibri" w:cs="Open Sans"/>
          <w:color w:val="3B3838" w:themeColor="background2" w:themeShade="40"/>
        </w:rPr>
        <w:t xml:space="preserve"> curriculum vitae détaillé illustrant son parcours de recherche ainsi que son expérience d’encadrement, </w:t>
      </w:r>
    </w:p>
    <w:p w14:paraId="7071D67B" w14:textId="77777777" w:rsidR="00BB3468" w:rsidRPr="00FF7688" w:rsidRDefault="00BB3468" w:rsidP="004364ED">
      <w:pPr>
        <w:pStyle w:val="Paragraphedeliste"/>
        <w:numPr>
          <w:ilvl w:val="0"/>
          <w:numId w:val="11"/>
        </w:numPr>
        <w:spacing w:after="0" w:line="240" w:lineRule="auto"/>
        <w:ind w:left="1418" w:hanging="284"/>
        <w:jc w:val="both"/>
        <w:rPr>
          <w:rFonts w:ascii="Calibri" w:hAnsi="Calibri" w:cs="Open Sans"/>
          <w:color w:val="3B3838" w:themeColor="background2" w:themeShade="40"/>
        </w:rPr>
      </w:pPr>
      <w:proofErr w:type="gramStart"/>
      <w:r w:rsidRPr="00FF7688">
        <w:rPr>
          <w:rFonts w:ascii="Calibri" w:hAnsi="Calibri" w:cs="Open Sans"/>
          <w:color w:val="3B3838" w:themeColor="background2" w:themeShade="40"/>
        </w:rPr>
        <w:t>une</w:t>
      </w:r>
      <w:proofErr w:type="gramEnd"/>
      <w:r w:rsidRPr="00FF7688">
        <w:rPr>
          <w:rFonts w:ascii="Calibri" w:hAnsi="Calibri" w:cs="Open Sans"/>
          <w:color w:val="3B3838" w:themeColor="background2" w:themeShade="40"/>
        </w:rPr>
        <w:t xml:space="preserve"> liste de ses publications, </w:t>
      </w:r>
    </w:p>
    <w:p w14:paraId="5A3E2431" w14:textId="6B25551F" w:rsidR="00BB3468" w:rsidRPr="00FA15A1" w:rsidRDefault="00BB3468" w:rsidP="00BB3468">
      <w:pPr>
        <w:pStyle w:val="Paragraphedeliste"/>
        <w:numPr>
          <w:ilvl w:val="0"/>
          <w:numId w:val="11"/>
        </w:numPr>
        <w:spacing w:after="180" w:line="240" w:lineRule="auto"/>
        <w:ind w:left="1418" w:hanging="284"/>
        <w:jc w:val="both"/>
        <w:rPr>
          <w:rFonts w:ascii="Calibri" w:hAnsi="Calibri" w:cs="Open Sans"/>
          <w:color w:val="3B3838" w:themeColor="background2" w:themeShade="40"/>
        </w:rPr>
      </w:pPr>
      <w:proofErr w:type="gramStart"/>
      <w:r w:rsidRPr="00FA15A1">
        <w:rPr>
          <w:rFonts w:ascii="Calibri" w:hAnsi="Calibri" w:cs="Open Sans"/>
          <w:color w:val="3B3838" w:themeColor="background2" w:themeShade="40"/>
        </w:rPr>
        <w:t>une</w:t>
      </w:r>
      <w:proofErr w:type="gramEnd"/>
      <w:r w:rsidRPr="00FA15A1">
        <w:rPr>
          <w:rFonts w:ascii="Calibri" w:hAnsi="Calibri" w:cs="Open Sans"/>
          <w:color w:val="3B3838" w:themeColor="background2" w:themeShade="40"/>
        </w:rPr>
        <w:t xml:space="preserve"> synthèse des travaux effectués*, démontrant le caractère original de la recherche réalisée et la capacité à concevoir, diriger et/ou animer un projet de recherche en autonomie. </w:t>
      </w:r>
      <w:r w:rsidR="002732C6">
        <w:rPr>
          <w:rFonts w:ascii="Calibri" w:hAnsi="Calibri" w:cs="Open Sans"/>
          <w:color w:val="3B3838" w:themeColor="background2" w:themeShade="40"/>
        </w:rPr>
        <w:t>Le candidat devrait p</w:t>
      </w:r>
      <w:r w:rsidRPr="00FA15A1">
        <w:rPr>
          <w:rFonts w:ascii="Calibri" w:hAnsi="Calibri" w:cs="Open Sans"/>
          <w:color w:val="3B3838" w:themeColor="background2" w:themeShade="40"/>
        </w:rPr>
        <w:t xml:space="preserve">réciser </w:t>
      </w:r>
      <w:r w:rsidR="002732C6">
        <w:rPr>
          <w:rFonts w:ascii="Calibri" w:hAnsi="Calibri" w:cs="Open Sans"/>
          <w:color w:val="3B3838" w:themeColor="background2" w:themeShade="40"/>
        </w:rPr>
        <w:t>s</w:t>
      </w:r>
      <w:r w:rsidRPr="00FA15A1">
        <w:rPr>
          <w:rFonts w:ascii="Calibri" w:hAnsi="Calibri" w:cs="Open Sans"/>
          <w:color w:val="3B3838" w:themeColor="background2" w:themeShade="40"/>
        </w:rPr>
        <w:t xml:space="preserve">es expériences d’encadrement et les financements obtenus et/ou </w:t>
      </w:r>
      <w:r w:rsidR="002732C6">
        <w:rPr>
          <w:rFonts w:ascii="Calibri" w:hAnsi="Calibri" w:cs="Open Sans"/>
          <w:color w:val="3B3838" w:themeColor="background2" w:themeShade="40"/>
        </w:rPr>
        <w:t>s</w:t>
      </w:r>
      <w:r w:rsidRPr="00FA15A1">
        <w:rPr>
          <w:rFonts w:ascii="Calibri" w:hAnsi="Calibri" w:cs="Open Sans"/>
          <w:color w:val="3B3838" w:themeColor="background2" w:themeShade="40"/>
        </w:rPr>
        <w:t xml:space="preserve">a participation à des projets de recherche en détaillant les responsabilités assurées dans ces projets, le cas échéant. </w:t>
      </w:r>
      <w:r w:rsidR="002732C6">
        <w:rPr>
          <w:rFonts w:ascii="Calibri" w:hAnsi="Calibri" w:cs="Open Sans"/>
          <w:color w:val="3B3838" w:themeColor="background2" w:themeShade="40"/>
        </w:rPr>
        <w:t>Il devra p</w:t>
      </w:r>
      <w:r w:rsidRPr="00FA15A1">
        <w:rPr>
          <w:rFonts w:ascii="Calibri" w:hAnsi="Calibri" w:cs="Open Sans"/>
          <w:color w:val="3B3838" w:themeColor="background2" w:themeShade="40"/>
        </w:rPr>
        <w:t>résent</w:t>
      </w:r>
      <w:r w:rsidR="002732C6">
        <w:rPr>
          <w:rFonts w:ascii="Calibri" w:hAnsi="Calibri" w:cs="Open Sans"/>
          <w:color w:val="3B3838" w:themeColor="background2" w:themeShade="40"/>
        </w:rPr>
        <w:t>er</w:t>
      </w:r>
      <w:r w:rsidRPr="00FA15A1">
        <w:rPr>
          <w:rFonts w:ascii="Calibri" w:hAnsi="Calibri" w:cs="Open Sans"/>
          <w:color w:val="3B3838" w:themeColor="background2" w:themeShade="40"/>
        </w:rPr>
        <w:t xml:space="preserve"> </w:t>
      </w:r>
      <w:r w:rsidR="002732C6">
        <w:rPr>
          <w:rFonts w:ascii="Calibri" w:hAnsi="Calibri" w:cs="Open Sans"/>
          <w:color w:val="3B3838" w:themeColor="background2" w:themeShade="40"/>
        </w:rPr>
        <w:t>un</w:t>
      </w:r>
      <w:r w:rsidR="002732C6" w:rsidRPr="00FA15A1">
        <w:rPr>
          <w:rFonts w:ascii="Calibri" w:hAnsi="Calibri" w:cs="Open Sans"/>
          <w:color w:val="3B3838" w:themeColor="background2" w:themeShade="40"/>
        </w:rPr>
        <w:t xml:space="preserve"> </w:t>
      </w:r>
      <w:r w:rsidRPr="00FA15A1">
        <w:rPr>
          <w:rFonts w:ascii="Calibri" w:hAnsi="Calibri" w:cs="Open Sans"/>
          <w:color w:val="3B3838" w:themeColor="background2" w:themeShade="40"/>
        </w:rPr>
        <w:t xml:space="preserve">projet et </w:t>
      </w:r>
      <w:r w:rsidR="001549AB">
        <w:rPr>
          <w:rFonts w:ascii="Calibri" w:hAnsi="Calibri" w:cs="Open Sans"/>
          <w:color w:val="3B3838" w:themeColor="background2" w:themeShade="40"/>
        </w:rPr>
        <w:t>l</w:t>
      </w:r>
      <w:r w:rsidRPr="00FA15A1">
        <w:rPr>
          <w:rFonts w:ascii="Calibri" w:hAnsi="Calibri" w:cs="Open Sans"/>
          <w:color w:val="3B3838" w:themeColor="background2" w:themeShade="40"/>
        </w:rPr>
        <w:t>es orientations de recherche</w:t>
      </w:r>
      <w:r w:rsidR="002732C6">
        <w:rPr>
          <w:rFonts w:ascii="Calibri" w:hAnsi="Calibri" w:cs="Open Sans"/>
          <w:color w:val="3B3838" w:themeColor="background2" w:themeShade="40"/>
        </w:rPr>
        <w:t xml:space="preserve"> envisagées</w:t>
      </w:r>
      <w:r w:rsidRPr="00FA15A1">
        <w:rPr>
          <w:rFonts w:ascii="Calibri" w:hAnsi="Calibri" w:cs="Open Sans"/>
          <w:color w:val="3B3838" w:themeColor="background2" w:themeShade="40"/>
        </w:rPr>
        <w:t xml:space="preserve"> sur les quatre années à venir.</w:t>
      </w:r>
    </w:p>
    <w:p w14:paraId="2983752E" w14:textId="25E51E40" w:rsidR="00690A23" w:rsidRPr="00FA15A1" w:rsidRDefault="00690A23" w:rsidP="00794A52">
      <w:pPr>
        <w:spacing w:after="180" w:line="240" w:lineRule="auto"/>
        <w:ind w:left="1416"/>
        <w:jc w:val="both"/>
        <w:rPr>
          <w:rFonts w:cs="Open Sans"/>
          <w:color w:val="3B3838" w:themeColor="background2" w:themeShade="40"/>
        </w:rPr>
      </w:pPr>
      <w:r w:rsidRPr="00FA15A1">
        <w:rPr>
          <w:rFonts w:cs="Open Sans"/>
          <w:color w:val="3B3838" w:themeColor="background2" w:themeShade="40"/>
        </w:rPr>
        <w:t>Pour le</w:t>
      </w:r>
      <w:r w:rsidR="007504A6" w:rsidRPr="00FA15A1">
        <w:rPr>
          <w:rFonts w:cs="Open Sans"/>
          <w:color w:val="3B3838" w:themeColor="background2" w:themeShade="40"/>
        </w:rPr>
        <w:t>s</w:t>
      </w:r>
      <w:r w:rsidRPr="00FA15A1">
        <w:rPr>
          <w:rFonts w:cs="Open Sans"/>
          <w:color w:val="3B3838" w:themeColor="background2" w:themeShade="40"/>
        </w:rPr>
        <w:t xml:space="preserve"> thématiques relevant de :</w:t>
      </w:r>
    </w:p>
    <w:p w14:paraId="1CFF6137" w14:textId="7DEE1E20" w:rsidR="00BB3468" w:rsidRPr="00FA15A1" w:rsidRDefault="00BB3468" w:rsidP="00BB3468">
      <w:pPr>
        <w:pStyle w:val="Paragraphedeliste"/>
        <w:spacing w:after="180" w:line="240" w:lineRule="auto"/>
        <w:ind w:left="1418"/>
        <w:jc w:val="both"/>
        <w:rPr>
          <w:rFonts w:ascii="Calibri" w:hAnsi="Calibri" w:cs="Open Sans"/>
          <w:color w:val="3B3838" w:themeColor="background2" w:themeShade="40"/>
        </w:rPr>
      </w:pPr>
      <w:r w:rsidRPr="00FA15A1">
        <w:rPr>
          <w:rFonts w:ascii="Calibri" w:hAnsi="Calibri" w:cs="Open Sans"/>
          <w:color w:val="3B3838" w:themeColor="background2" w:themeShade="40"/>
        </w:rPr>
        <w:t>*</w:t>
      </w:r>
      <w:r w:rsidR="00965347">
        <w:rPr>
          <w:rFonts w:ascii="Calibri" w:hAnsi="Calibri" w:cs="Open Sans"/>
          <w:color w:val="3B3838" w:themeColor="background2" w:themeShade="40"/>
        </w:rPr>
        <w:t xml:space="preserve"> </w:t>
      </w:r>
      <w:r w:rsidR="007C6047">
        <w:rPr>
          <w:rFonts w:ascii="Calibri" w:hAnsi="Calibri" w:cs="Open Sans"/>
          <w:color w:val="3B3838" w:themeColor="background2" w:themeShade="40"/>
        </w:rPr>
        <w:t>l’</w:t>
      </w:r>
      <w:r w:rsidRPr="00FA15A1">
        <w:rPr>
          <w:rFonts w:ascii="Calibri" w:hAnsi="Calibri" w:cs="Open Sans"/>
          <w:color w:val="3B3838" w:themeColor="background2" w:themeShade="40"/>
        </w:rPr>
        <w:t>ED 305 : entre 20 et 30 pages</w:t>
      </w:r>
    </w:p>
    <w:p w14:paraId="0C4146A9" w14:textId="2654AF1D" w:rsidR="00BB3468" w:rsidRPr="00FA15A1" w:rsidRDefault="00E237D6" w:rsidP="00BB3468">
      <w:pPr>
        <w:pStyle w:val="Paragraphedeliste"/>
        <w:spacing w:after="180" w:line="240" w:lineRule="auto"/>
        <w:ind w:left="1418"/>
        <w:jc w:val="both"/>
        <w:rPr>
          <w:rFonts w:ascii="Calibri" w:hAnsi="Calibri" w:cs="Open Sans"/>
          <w:color w:val="3B3838" w:themeColor="background2" w:themeShade="40"/>
        </w:rPr>
      </w:pPr>
      <w:r w:rsidRPr="00FA15A1">
        <w:rPr>
          <w:rFonts w:ascii="Calibri" w:hAnsi="Calibri" w:cs="Open Sans"/>
          <w:color w:val="3B3838" w:themeColor="background2" w:themeShade="40"/>
        </w:rPr>
        <w:t>*</w:t>
      </w:r>
      <w:r w:rsidR="00BB3468" w:rsidRPr="00FA15A1">
        <w:rPr>
          <w:rFonts w:ascii="Calibri" w:hAnsi="Calibri" w:cs="Open Sans"/>
          <w:color w:val="3B3838" w:themeColor="background2" w:themeShade="40"/>
        </w:rPr>
        <w:t xml:space="preserve"> </w:t>
      </w:r>
      <w:r w:rsidR="007C6047">
        <w:rPr>
          <w:rFonts w:ascii="Calibri" w:hAnsi="Calibri" w:cs="Open Sans"/>
          <w:color w:val="3B3838" w:themeColor="background2" w:themeShade="40"/>
        </w:rPr>
        <w:t>l’</w:t>
      </w:r>
      <w:r w:rsidR="00BB3468" w:rsidRPr="00FA15A1">
        <w:rPr>
          <w:rFonts w:ascii="Calibri" w:hAnsi="Calibri" w:cs="Open Sans"/>
          <w:color w:val="3B3838" w:themeColor="background2" w:themeShade="40"/>
        </w:rPr>
        <w:t>ED 544 : entre 40 et 50 pages</w:t>
      </w:r>
    </w:p>
    <w:p w14:paraId="3F408667" w14:textId="77777777" w:rsidR="00BB3468" w:rsidRPr="00FA15A1" w:rsidRDefault="00BB3468" w:rsidP="00BB3468">
      <w:pPr>
        <w:pStyle w:val="Paragraphedeliste"/>
        <w:spacing w:after="180" w:line="240" w:lineRule="auto"/>
        <w:ind w:left="1701" w:hanging="567"/>
        <w:jc w:val="both"/>
        <w:rPr>
          <w:rFonts w:ascii="Calibri" w:hAnsi="Calibri" w:cs="Open Sans"/>
          <w:color w:val="3B3838" w:themeColor="background2" w:themeShade="40"/>
        </w:rPr>
      </w:pPr>
    </w:p>
    <w:p w14:paraId="2971026C" w14:textId="6FEBE06E" w:rsidR="00BB3468" w:rsidRPr="00FF7688" w:rsidRDefault="00BB3468" w:rsidP="00BB3468">
      <w:pPr>
        <w:pStyle w:val="Paragraphedeliste"/>
        <w:spacing w:after="180" w:line="240" w:lineRule="auto"/>
        <w:ind w:left="709"/>
        <w:jc w:val="both"/>
        <w:rPr>
          <w:rFonts w:ascii="Calibri" w:hAnsi="Calibri" w:cs="Open Sans"/>
          <w:color w:val="3B3838" w:themeColor="background2" w:themeShade="40"/>
        </w:rPr>
      </w:pPr>
      <w:r w:rsidRPr="00FF7688">
        <w:rPr>
          <w:rFonts w:ascii="Calibri" w:hAnsi="Calibri" w:cs="Open Sans"/>
          <w:color w:val="3B3838" w:themeColor="background2" w:themeShade="40"/>
        </w:rPr>
        <w:t xml:space="preserve">Dans le même temps, le SRV informe les pré-rapporteurs de leur sollicitation par la Commission Recherche du conseil Académique (CR) restreint aux HDR, ainsi que la date de retour des pré-rapports auprès du SRV. Le SRV doit avoir connaissance des pré-rapports au moins 15 jours avant </w:t>
      </w:r>
      <w:r w:rsidR="002732C6">
        <w:rPr>
          <w:rFonts w:ascii="Calibri" w:hAnsi="Calibri" w:cs="Open Sans"/>
          <w:color w:val="3B3838" w:themeColor="background2" w:themeShade="40"/>
        </w:rPr>
        <w:t>que se réunisse</w:t>
      </w:r>
      <w:r w:rsidRPr="00FF7688">
        <w:rPr>
          <w:rFonts w:ascii="Calibri" w:hAnsi="Calibri" w:cs="Open Sans"/>
          <w:color w:val="3B3838" w:themeColor="background2" w:themeShade="40"/>
        </w:rPr>
        <w:t xml:space="preserve"> la Commission Recherche du Conseil Académique (CR).</w:t>
      </w:r>
    </w:p>
    <w:p w14:paraId="6F76BD60" w14:textId="77777777" w:rsidR="00BB3468" w:rsidRPr="00FF7688" w:rsidRDefault="00BB3468" w:rsidP="00BB3468">
      <w:pPr>
        <w:pStyle w:val="Paragraphedeliste"/>
        <w:spacing w:after="180" w:line="240" w:lineRule="auto"/>
        <w:ind w:left="709"/>
        <w:jc w:val="both"/>
        <w:rPr>
          <w:rFonts w:ascii="Calibri" w:hAnsi="Calibri" w:cs="Open Sans"/>
          <w:color w:val="3B3838" w:themeColor="background2" w:themeShade="40"/>
        </w:rPr>
      </w:pPr>
    </w:p>
    <w:p w14:paraId="766BF1C1" w14:textId="123F754F" w:rsidR="005C2142" w:rsidRDefault="00BB3468" w:rsidP="00FF7688">
      <w:pPr>
        <w:pStyle w:val="Paragraphedeliste"/>
        <w:numPr>
          <w:ilvl w:val="0"/>
          <w:numId w:val="15"/>
        </w:numPr>
        <w:spacing w:after="0" w:line="240" w:lineRule="auto"/>
        <w:ind w:left="1134" w:hanging="567"/>
        <w:jc w:val="both"/>
        <w:rPr>
          <w:rFonts w:ascii="Calibri" w:hAnsi="Calibri" w:cs="Open Sans"/>
          <w:color w:val="3B3838" w:themeColor="background2" w:themeShade="40"/>
        </w:rPr>
      </w:pPr>
      <w:r w:rsidRPr="00FF7688">
        <w:rPr>
          <w:rFonts w:ascii="Calibri" w:hAnsi="Calibri" w:cs="Open Sans"/>
          <w:color w:val="3B3838" w:themeColor="background2" w:themeShade="40"/>
        </w:rPr>
        <w:t>En cas de non acceptation, le candidat est invité à proposer de nouveaux</w:t>
      </w:r>
      <w:r w:rsidR="00646D76">
        <w:rPr>
          <w:rFonts w:ascii="Calibri" w:hAnsi="Calibri" w:cs="Open Sans"/>
          <w:color w:val="3B3838" w:themeColor="background2" w:themeShade="40"/>
        </w:rPr>
        <w:t xml:space="preserve"> pré-</w:t>
      </w:r>
      <w:r w:rsidRPr="00FF7688">
        <w:rPr>
          <w:rFonts w:ascii="Calibri" w:hAnsi="Calibri" w:cs="Open Sans"/>
          <w:color w:val="3B3838" w:themeColor="background2" w:themeShade="40"/>
        </w:rPr>
        <w:t>rapporteurs</w:t>
      </w:r>
      <w:r w:rsidR="00646D76">
        <w:rPr>
          <w:rFonts w:ascii="Calibri" w:hAnsi="Calibri" w:cs="Open Sans"/>
          <w:color w:val="3B3838" w:themeColor="background2" w:themeShade="40"/>
        </w:rPr>
        <w:t xml:space="preserve"> dans un délai </w:t>
      </w:r>
      <w:r w:rsidR="005C2142">
        <w:rPr>
          <w:rFonts w:ascii="Calibri" w:hAnsi="Calibri" w:cs="Open Sans"/>
          <w:color w:val="3B3838" w:themeColor="background2" w:themeShade="40"/>
        </w:rPr>
        <w:t xml:space="preserve">minimum de 6 mois </w:t>
      </w:r>
    </w:p>
    <w:p w14:paraId="7DECD34D" w14:textId="6D7EB7A9" w:rsidR="00BB3468" w:rsidRPr="00FF7688" w:rsidRDefault="00BB3468" w:rsidP="00474446">
      <w:pPr>
        <w:pStyle w:val="Paragraphedeliste"/>
        <w:spacing w:after="0" w:line="240" w:lineRule="auto"/>
        <w:ind w:left="1134"/>
        <w:jc w:val="both"/>
        <w:rPr>
          <w:rFonts w:cs="Open Sans"/>
          <w:color w:val="3B3838" w:themeColor="background2" w:themeShade="40"/>
        </w:rPr>
      </w:pPr>
      <w:r w:rsidRPr="00FF7688">
        <w:rPr>
          <w:rFonts w:ascii="Calibri" w:hAnsi="Calibri" w:cs="Open Sans"/>
          <w:color w:val="3B3838" w:themeColor="background2" w:themeShade="40"/>
        </w:rPr>
        <w:lastRenderedPageBreak/>
        <w:t>.</w:t>
      </w:r>
      <w:r w:rsidR="00345E3F">
        <w:rPr>
          <w:rFonts w:ascii="Calibri" w:hAnsi="Calibri" w:cs="Open Sans"/>
          <w:color w:val="3B3838" w:themeColor="background2" w:themeShade="40"/>
        </w:rPr>
        <w:br/>
      </w:r>
    </w:p>
    <w:p w14:paraId="017319F4" w14:textId="77777777" w:rsidR="00BB3468" w:rsidRPr="00FF7688" w:rsidRDefault="00BB3468" w:rsidP="00BB3468">
      <w:pPr>
        <w:pStyle w:val="Paragraphedeliste"/>
        <w:numPr>
          <w:ilvl w:val="0"/>
          <w:numId w:val="10"/>
        </w:numPr>
        <w:spacing w:after="180" w:line="240" w:lineRule="auto"/>
        <w:ind w:left="567" w:hanging="567"/>
        <w:jc w:val="both"/>
        <w:rPr>
          <w:rFonts w:ascii="Calibri" w:hAnsi="Calibri" w:cs="Open Sans"/>
          <w:b/>
          <w:color w:val="3B3838" w:themeColor="background2" w:themeShade="40"/>
          <w:sz w:val="24"/>
          <w:szCs w:val="24"/>
        </w:rPr>
      </w:pPr>
      <w:r w:rsidRPr="00FF7688">
        <w:rPr>
          <w:rFonts w:ascii="Calibri" w:hAnsi="Calibri" w:cs="Open Sans"/>
          <w:b/>
          <w:color w:val="3B3838" w:themeColor="background2" w:themeShade="40"/>
          <w:sz w:val="24"/>
          <w:szCs w:val="24"/>
        </w:rPr>
        <w:t xml:space="preserve">Retour des pré-rapports </w:t>
      </w:r>
    </w:p>
    <w:p w14:paraId="37B74530" w14:textId="77777777" w:rsidR="00BB3468" w:rsidRPr="00FF7688" w:rsidRDefault="00BB3468" w:rsidP="00BB3468">
      <w:pPr>
        <w:spacing w:after="180" w:line="240" w:lineRule="auto"/>
        <w:ind w:left="567"/>
        <w:jc w:val="both"/>
        <w:rPr>
          <w:rFonts w:cs="Open Sans"/>
          <w:color w:val="3B3838" w:themeColor="background2" w:themeShade="40"/>
        </w:rPr>
      </w:pPr>
      <w:r w:rsidRPr="00FF7688">
        <w:rPr>
          <w:rFonts w:cs="Open Sans"/>
          <w:b/>
          <w:color w:val="3B3838" w:themeColor="background2" w:themeShade="40"/>
        </w:rPr>
        <w:t>Au vu du retour des pré-rapports pour l’inscription auprès du SRV</w:t>
      </w:r>
      <w:r w:rsidRPr="00FF7688">
        <w:rPr>
          <w:rFonts w:cs="Open Sans"/>
          <w:color w:val="3B3838" w:themeColor="background2" w:themeShade="40"/>
        </w:rPr>
        <w:t>, ceux-ci sont examinés par la Commission Recherche du Conseil Académique (CR) restreint aux HDR, qui fait part de son avis au président de l’Université.</w:t>
      </w:r>
    </w:p>
    <w:p w14:paraId="0CE607FA" w14:textId="77777777" w:rsidR="00BB3468" w:rsidRPr="00FF7688" w:rsidRDefault="00BB3468" w:rsidP="00BB3468">
      <w:pPr>
        <w:spacing w:after="180" w:line="240" w:lineRule="auto"/>
        <w:ind w:left="1134" w:hanging="567"/>
        <w:jc w:val="both"/>
        <w:rPr>
          <w:rFonts w:cs="Open Sans"/>
          <w:color w:val="3B3838" w:themeColor="background2" w:themeShade="40"/>
        </w:rPr>
      </w:pPr>
      <w:r w:rsidRPr="00FF7688">
        <w:rPr>
          <w:rFonts w:cs="Open Sans"/>
          <w:color w:val="ED7D31" w:themeColor="accent2"/>
          <w:sz w:val="32"/>
          <w:szCs w:val="32"/>
          <w:shd w:val="clear" w:color="auto" w:fill="FFFFFF"/>
        </w:rPr>
        <w:sym w:font="Wingdings" w:char="F0C4"/>
      </w:r>
      <w:r w:rsidRPr="00FF7688">
        <w:rPr>
          <w:rFonts w:cs="Open Sans"/>
          <w:sz w:val="32"/>
          <w:szCs w:val="32"/>
        </w:rPr>
        <w:t xml:space="preserve"> </w:t>
      </w:r>
      <w:r w:rsidRPr="008A3968">
        <w:rPr>
          <w:rFonts w:cs="Open Sans"/>
        </w:rPr>
        <w:tab/>
      </w:r>
      <w:r w:rsidRPr="00FF7688">
        <w:rPr>
          <w:rFonts w:cs="Open Sans"/>
          <w:color w:val="3B3838" w:themeColor="background2" w:themeShade="40"/>
        </w:rPr>
        <w:t xml:space="preserve">En cas d’issue favorable, le SRV informe le candidat de la validation de son inscription, de manière à ce que celui-ci puisse procéder à son </w:t>
      </w:r>
      <w:r w:rsidRPr="009805EF">
        <w:rPr>
          <w:rFonts w:cs="Open Sans"/>
          <w:b/>
        </w:rPr>
        <w:t>inscription administrative</w:t>
      </w:r>
      <w:r w:rsidRPr="009805EF">
        <w:rPr>
          <w:rFonts w:cs="Open Sans"/>
        </w:rPr>
        <w:t xml:space="preserve"> </w:t>
      </w:r>
      <w:r w:rsidRPr="00FF7688">
        <w:rPr>
          <w:rFonts w:cs="Open Sans"/>
          <w:color w:val="3B3838" w:themeColor="background2" w:themeShade="40"/>
        </w:rPr>
        <w:t xml:space="preserve">auprès du service de la Scolarité Centrale de l’Université de Perpignan Via </w:t>
      </w:r>
      <w:proofErr w:type="spellStart"/>
      <w:r w:rsidRPr="00FF7688">
        <w:rPr>
          <w:rFonts w:cs="Open Sans"/>
          <w:color w:val="3B3838" w:themeColor="background2" w:themeShade="40"/>
        </w:rPr>
        <w:t>Domitia</w:t>
      </w:r>
      <w:proofErr w:type="spellEnd"/>
      <w:r w:rsidRPr="00FF7688">
        <w:rPr>
          <w:rFonts w:cs="Open Sans"/>
          <w:color w:val="3B3838" w:themeColor="background2" w:themeShade="40"/>
        </w:rPr>
        <w:t xml:space="preserve">. </w:t>
      </w:r>
    </w:p>
    <w:p w14:paraId="6FCCAFF9" w14:textId="77777777" w:rsidR="00BB3468" w:rsidRPr="00FF7688" w:rsidRDefault="00BB3468" w:rsidP="00BB3468">
      <w:pPr>
        <w:pStyle w:val="Paragraphedeliste"/>
        <w:numPr>
          <w:ilvl w:val="0"/>
          <w:numId w:val="14"/>
        </w:numPr>
        <w:spacing w:after="180" w:line="240" w:lineRule="auto"/>
        <w:ind w:left="1134" w:hanging="567"/>
        <w:jc w:val="both"/>
        <w:rPr>
          <w:rFonts w:ascii="Calibri" w:hAnsi="Calibri" w:cs="Open Sans"/>
          <w:color w:val="3B3838" w:themeColor="background2" w:themeShade="40"/>
        </w:rPr>
      </w:pPr>
      <w:r w:rsidRPr="00FF7688">
        <w:rPr>
          <w:rFonts w:ascii="Calibri" w:hAnsi="Calibri" w:cs="Open Sans"/>
          <w:color w:val="3B3838" w:themeColor="background2" w:themeShade="40"/>
        </w:rPr>
        <w:t>En cas d’issue négative, le président de l’Université informe le candidat des motifs du refus.</w:t>
      </w:r>
    </w:p>
    <w:p w14:paraId="1A87DF77" w14:textId="77777777" w:rsidR="00BB3468" w:rsidRPr="00F74546" w:rsidRDefault="00BB3468" w:rsidP="00BB3468">
      <w:pPr>
        <w:spacing w:after="0" w:line="240" w:lineRule="auto"/>
        <w:ind w:right="141"/>
        <w:jc w:val="both"/>
        <w:rPr>
          <w:b/>
          <w:color w:val="ED7D31" w:themeColor="accent2"/>
        </w:rPr>
      </w:pPr>
      <w:r w:rsidRPr="00F74546">
        <w:rPr>
          <w:rFonts w:cs="Open Sans"/>
        </w:rPr>
        <w:tab/>
      </w:r>
    </w:p>
    <w:p w14:paraId="6994A362" w14:textId="3C9A534D" w:rsidR="00BB3468" w:rsidRPr="00C6193A" w:rsidRDefault="00BB3468" w:rsidP="00BB3468">
      <w:pPr>
        <w:spacing w:after="0" w:line="240" w:lineRule="auto"/>
        <w:rPr>
          <w:b/>
          <w:color w:val="ED7D31" w:themeColor="accent2"/>
          <w:sz w:val="28"/>
          <w:szCs w:val="28"/>
        </w:rPr>
      </w:pPr>
      <w:r w:rsidRPr="00C6193A">
        <w:rPr>
          <w:b/>
          <w:color w:val="ED7D31" w:themeColor="accent2"/>
          <w:sz w:val="28"/>
          <w:szCs w:val="28"/>
        </w:rPr>
        <w:t>ETAPE 2 –</w:t>
      </w:r>
      <w:r w:rsidR="00794A52">
        <w:rPr>
          <w:b/>
          <w:color w:val="ED7D31" w:themeColor="accent2"/>
          <w:sz w:val="28"/>
          <w:szCs w:val="28"/>
        </w:rPr>
        <w:t xml:space="preserve"> A</w:t>
      </w:r>
      <w:r w:rsidRPr="00C6193A">
        <w:rPr>
          <w:b/>
          <w:color w:val="ED7D31" w:themeColor="accent2"/>
          <w:sz w:val="28"/>
          <w:szCs w:val="28"/>
        </w:rPr>
        <w:t xml:space="preserve">utorisation de soutenance </w:t>
      </w:r>
      <w:r w:rsidR="002732C6">
        <w:rPr>
          <w:b/>
          <w:color w:val="ED7D31" w:themeColor="accent2"/>
          <w:sz w:val="28"/>
          <w:szCs w:val="28"/>
        </w:rPr>
        <w:t>de</w:t>
      </w:r>
      <w:r w:rsidRPr="00C6193A">
        <w:rPr>
          <w:b/>
          <w:color w:val="ED7D31" w:themeColor="accent2"/>
          <w:sz w:val="28"/>
          <w:szCs w:val="28"/>
        </w:rPr>
        <w:t xml:space="preserve"> l’HDR</w:t>
      </w:r>
    </w:p>
    <w:p w14:paraId="064CC790" w14:textId="77777777" w:rsidR="00BB3468" w:rsidRDefault="00BB3468" w:rsidP="00BB3468">
      <w:pPr>
        <w:spacing w:after="0" w:line="240" w:lineRule="auto"/>
        <w:jc w:val="both"/>
      </w:pPr>
    </w:p>
    <w:p w14:paraId="4A909470" w14:textId="6752EBBA" w:rsidR="004364ED" w:rsidRPr="00FF7688" w:rsidRDefault="00BB3468" w:rsidP="00BB3468">
      <w:pPr>
        <w:spacing w:after="0" w:line="240" w:lineRule="auto"/>
        <w:jc w:val="both"/>
        <w:rPr>
          <w:color w:val="3B3838" w:themeColor="background2" w:themeShade="40"/>
        </w:rPr>
      </w:pPr>
      <w:r w:rsidRPr="00FF7688">
        <w:rPr>
          <w:color w:val="3B3838" w:themeColor="background2" w:themeShade="40"/>
        </w:rPr>
        <w:t>Cette étape consiste à obtenir l’autorisation à la soutenance du candidat à s</w:t>
      </w:r>
      <w:r w:rsidR="002732C6">
        <w:rPr>
          <w:color w:val="3B3838" w:themeColor="background2" w:themeShade="40"/>
        </w:rPr>
        <w:t>on</w:t>
      </w:r>
      <w:r w:rsidRPr="00FF7688">
        <w:rPr>
          <w:color w:val="3B3838" w:themeColor="background2" w:themeShade="40"/>
        </w:rPr>
        <w:t xml:space="preserve"> HDR. </w:t>
      </w:r>
    </w:p>
    <w:p w14:paraId="279B5E36" w14:textId="77777777" w:rsidR="004364ED" w:rsidRPr="00FF7688" w:rsidRDefault="004364ED" w:rsidP="00BB3468">
      <w:pPr>
        <w:spacing w:after="0" w:line="240" w:lineRule="auto"/>
        <w:jc w:val="both"/>
        <w:rPr>
          <w:b/>
          <w:color w:val="3B3838" w:themeColor="background2" w:themeShade="40"/>
          <w:sz w:val="24"/>
          <w:szCs w:val="24"/>
        </w:rPr>
      </w:pPr>
    </w:p>
    <w:p w14:paraId="0E7A0913" w14:textId="05465A63" w:rsidR="00BB3468" w:rsidRPr="00FF7688" w:rsidRDefault="00BB3468" w:rsidP="00BB3468">
      <w:pPr>
        <w:spacing w:after="0" w:line="240" w:lineRule="auto"/>
        <w:jc w:val="both"/>
        <w:rPr>
          <w:b/>
          <w:color w:val="3B3838" w:themeColor="background2" w:themeShade="40"/>
          <w:sz w:val="24"/>
          <w:szCs w:val="24"/>
        </w:rPr>
      </w:pPr>
      <w:r w:rsidRPr="00FF7688">
        <w:rPr>
          <w:b/>
          <w:color w:val="3B3838" w:themeColor="background2" w:themeShade="40"/>
          <w:sz w:val="24"/>
          <w:szCs w:val="24"/>
        </w:rPr>
        <w:t>CONS</w:t>
      </w:r>
      <w:r w:rsidR="00466E50">
        <w:rPr>
          <w:b/>
          <w:color w:val="3B3838" w:themeColor="background2" w:themeShade="40"/>
          <w:sz w:val="24"/>
          <w:szCs w:val="24"/>
        </w:rPr>
        <w:t>T</w:t>
      </w:r>
      <w:r w:rsidRPr="00FF7688">
        <w:rPr>
          <w:b/>
          <w:color w:val="3B3838" w:themeColor="background2" w:themeShade="40"/>
          <w:sz w:val="24"/>
          <w:szCs w:val="24"/>
        </w:rPr>
        <w:t xml:space="preserve">ITUTION DU DOSSIER EN VUE DE LA SOUTENANCE </w:t>
      </w:r>
      <w:r w:rsidR="002732C6">
        <w:rPr>
          <w:b/>
          <w:color w:val="3B3838" w:themeColor="background2" w:themeShade="40"/>
          <w:sz w:val="24"/>
          <w:szCs w:val="24"/>
        </w:rPr>
        <w:t>DE</w:t>
      </w:r>
      <w:r w:rsidRPr="00FF7688">
        <w:rPr>
          <w:b/>
          <w:color w:val="3B3838" w:themeColor="background2" w:themeShade="40"/>
          <w:sz w:val="24"/>
          <w:szCs w:val="24"/>
        </w:rPr>
        <w:t xml:space="preserve"> </w:t>
      </w:r>
      <w:r w:rsidR="00E237D6" w:rsidRPr="00FF7688">
        <w:rPr>
          <w:b/>
          <w:color w:val="3B3838" w:themeColor="background2" w:themeShade="40"/>
          <w:sz w:val="24"/>
          <w:szCs w:val="24"/>
        </w:rPr>
        <w:t>L</w:t>
      </w:r>
      <w:r w:rsidR="00E237D6">
        <w:rPr>
          <w:b/>
          <w:color w:val="3B3838" w:themeColor="background2" w:themeShade="40"/>
          <w:sz w:val="24"/>
          <w:szCs w:val="24"/>
        </w:rPr>
        <w:t>’</w:t>
      </w:r>
      <w:r w:rsidRPr="00FF7688">
        <w:rPr>
          <w:b/>
          <w:color w:val="3B3838" w:themeColor="background2" w:themeShade="40"/>
          <w:sz w:val="24"/>
          <w:szCs w:val="24"/>
        </w:rPr>
        <w:t xml:space="preserve">HDR </w:t>
      </w:r>
    </w:p>
    <w:p w14:paraId="7ABACE01" w14:textId="77777777" w:rsidR="00BB3468" w:rsidRPr="00FF7688" w:rsidRDefault="00BB3468" w:rsidP="00BB3468">
      <w:pPr>
        <w:spacing w:after="0" w:line="240" w:lineRule="auto"/>
        <w:jc w:val="both"/>
        <w:rPr>
          <w:color w:val="3B3838" w:themeColor="background2" w:themeShade="40"/>
          <w:sz w:val="24"/>
          <w:szCs w:val="24"/>
        </w:rPr>
      </w:pPr>
    </w:p>
    <w:p w14:paraId="6B7DEDBA" w14:textId="28CF11EF" w:rsidR="004364ED" w:rsidRPr="00FF7688" w:rsidRDefault="004364ED" w:rsidP="004364ED">
      <w:pPr>
        <w:spacing w:after="0" w:line="240" w:lineRule="auto"/>
        <w:jc w:val="both"/>
        <w:rPr>
          <w:color w:val="3B3838" w:themeColor="background2" w:themeShade="40"/>
        </w:rPr>
      </w:pPr>
      <w:r w:rsidRPr="00FF7688">
        <w:rPr>
          <w:color w:val="3B3838" w:themeColor="background2" w:themeShade="40"/>
        </w:rPr>
        <w:t xml:space="preserve">Pour le bon déroulement de l’organisation de la soutenance </w:t>
      </w:r>
      <w:r w:rsidR="002732C6">
        <w:rPr>
          <w:color w:val="3B3838" w:themeColor="background2" w:themeShade="40"/>
        </w:rPr>
        <w:t>de</w:t>
      </w:r>
      <w:r w:rsidR="002732C6" w:rsidRPr="00FF7688">
        <w:rPr>
          <w:color w:val="3B3838" w:themeColor="background2" w:themeShade="40"/>
        </w:rPr>
        <w:t xml:space="preserve"> </w:t>
      </w:r>
      <w:r w:rsidR="00E237D6" w:rsidRPr="00FF7688">
        <w:rPr>
          <w:color w:val="3B3838" w:themeColor="background2" w:themeShade="40"/>
        </w:rPr>
        <w:t>l</w:t>
      </w:r>
      <w:r w:rsidR="00E237D6">
        <w:rPr>
          <w:color w:val="3B3838" w:themeColor="background2" w:themeShade="40"/>
        </w:rPr>
        <w:t>’</w:t>
      </w:r>
      <w:r w:rsidRPr="00FF7688">
        <w:rPr>
          <w:color w:val="3B3838" w:themeColor="background2" w:themeShade="40"/>
        </w:rPr>
        <w:t xml:space="preserve">HDR, </w:t>
      </w:r>
      <w:r w:rsidR="00E47570" w:rsidRPr="00FF7688">
        <w:rPr>
          <w:color w:val="3B3838" w:themeColor="background2" w:themeShade="40"/>
        </w:rPr>
        <w:t>le candidat</w:t>
      </w:r>
      <w:r w:rsidRPr="00FF7688">
        <w:rPr>
          <w:color w:val="3B3838" w:themeColor="background2" w:themeShade="40"/>
        </w:rPr>
        <w:t xml:space="preserve"> devra déposer son dossier au SRV au moins 60 jours avant la date de soutenance souhaitée :</w:t>
      </w:r>
    </w:p>
    <w:p w14:paraId="5915F207" w14:textId="77777777" w:rsidR="004364ED" w:rsidRPr="00FF7688" w:rsidRDefault="004364ED" w:rsidP="004364ED">
      <w:pPr>
        <w:spacing w:after="0" w:line="240" w:lineRule="auto"/>
        <w:jc w:val="both"/>
        <w:rPr>
          <w:b/>
          <w:color w:val="3B3838" w:themeColor="background2" w:themeShade="40"/>
          <w:sz w:val="24"/>
          <w:szCs w:val="24"/>
        </w:rPr>
      </w:pPr>
    </w:p>
    <w:p w14:paraId="39F2E151" w14:textId="77777777" w:rsidR="00BB3468" w:rsidRPr="00FF7688" w:rsidRDefault="00BB3468" w:rsidP="00FA15A1">
      <w:pPr>
        <w:pStyle w:val="Paragraphedeliste"/>
        <w:numPr>
          <w:ilvl w:val="0"/>
          <w:numId w:val="12"/>
        </w:numPr>
        <w:spacing w:after="0" w:line="240" w:lineRule="auto"/>
        <w:ind w:left="851" w:hanging="284"/>
        <w:jc w:val="both"/>
        <w:rPr>
          <w:rFonts w:ascii="Calibri" w:hAnsi="Calibri" w:cs="Calibri"/>
          <w:color w:val="3B3838" w:themeColor="background2" w:themeShade="40"/>
        </w:rPr>
      </w:pPr>
      <w:r w:rsidRPr="00FF7688">
        <w:rPr>
          <w:rFonts w:ascii="Calibri" w:hAnsi="Calibri" w:cs="Calibri"/>
          <w:b/>
          <w:color w:val="3B3838" w:themeColor="background2" w:themeShade="40"/>
        </w:rPr>
        <w:t xml:space="preserve">L’annexe B </w:t>
      </w:r>
      <w:r w:rsidRPr="00FF7688">
        <w:rPr>
          <w:rFonts w:ascii="Calibri" w:hAnsi="Calibri" w:cs="Calibri"/>
          <w:color w:val="3B3838" w:themeColor="background2" w:themeShade="40"/>
        </w:rPr>
        <w:t>« Désignation des rapporteurs »</w:t>
      </w:r>
    </w:p>
    <w:p w14:paraId="35BAB40C" w14:textId="77777777" w:rsidR="00BB3468" w:rsidRPr="00FF7688" w:rsidRDefault="00BB3468" w:rsidP="00FA15A1">
      <w:pPr>
        <w:pStyle w:val="Paragraphedeliste"/>
        <w:numPr>
          <w:ilvl w:val="0"/>
          <w:numId w:val="12"/>
        </w:numPr>
        <w:spacing w:after="0" w:line="240" w:lineRule="auto"/>
        <w:ind w:left="851" w:hanging="284"/>
        <w:jc w:val="both"/>
        <w:rPr>
          <w:rFonts w:ascii="Calibri" w:hAnsi="Calibri" w:cs="Calibri"/>
          <w:color w:val="3B3838" w:themeColor="background2" w:themeShade="40"/>
        </w:rPr>
      </w:pPr>
      <w:r w:rsidRPr="00FF7688">
        <w:rPr>
          <w:rFonts w:ascii="Calibri" w:hAnsi="Calibri" w:cs="Calibri"/>
          <w:b/>
          <w:color w:val="3B3838" w:themeColor="background2" w:themeShade="40"/>
        </w:rPr>
        <w:t>L’annexe C</w:t>
      </w:r>
      <w:r w:rsidRPr="00FF7688">
        <w:rPr>
          <w:rFonts w:ascii="Calibri" w:hAnsi="Calibri" w:cs="Calibri"/>
          <w:color w:val="3B3838" w:themeColor="background2" w:themeShade="40"/>
        </w:rPr>
        <w:t xml:space="preserve"> « Désignation </w:t>
      </w:r>
      <w:r w:rsidR="00E237D6">
        <w:rPr>
          <w:rFonts w:ascii="Calibri" w:hAnsi="Calibri" w:cs="Calibri"/>
          <w:color w:val="3B3838" w:themeColor="background2" w:themeShade="40"/>
        </w:rPr>
        <w:t xml:space="preserve">des membres </w:t>
      </w:r>
      <w:r w:rsidRPr="00FF7688">
        <w:rPr>
          <w:rFonts w:ascii="Calibri" w:hAnsi="Calibri" w:cs="Calibri"/>
          <w:color w:val="3B3838" w:themeColor="background2" w:themeShade="40"/>
        </w:rPr>
        <w:t>du jury »</w:t>
      </w:r>
    </w:p>
    <w:p w14:paraId="5699FF1C" w14:textId="77777777" w:rsidR="00BB3468" w:rsidRPr="009805EF" w:rsidRDefault="00BB3468" w:rsidP="00BB3468">
      <w:pPr>
        <w:pStyle w:val="Paragraphedeliste"/>
        <w:spacing w:after="0" w:line="240" w:lineRule="auto"/>
        <w:jc w:val="both"/>
        <w:rPr>
          <w:rFonts w:ascii="Calibri" w:hAnsi="Calibri" w:cs="Calibri"/>
          <w:sz w:val="24"/>
          <w:szCs w:val="24"/>
        </w:rPr>
      </w:pPr>
    </w:p>
    <w:p w14:paraId="6CDCAB56" w14:textId="5BB6D28A" w:rsidR="00BB3468" w:rsidRPr="00FA15A1" w:rsidRDefault="00BB3468" w:rsidP="00FA15A1">
      <w:pPr>
        <w:pStyle w:val="Paragraphedeliste"/>
        <w:numPr>
          <w:ilvl w:val="0"/>
          <w:numId w:val="15"/>
        </w:numPr>
        <w:tabs>
          <w:tab w:val="left" w:pos="993"/>
        </w:tabs>
        <w:spacing w:after="0" w:line="240" w:lineRule="auto"/>
        <w:ind w:left="567" w:hanging="567"/>
        <w:jc w:val="both"/>
        <w:rPr>
          <w:rFonts w:ascii="Calibri" w:hAnsi="Calibri" w:cs="Calibri"/>
          <w:color w:val="3B3838" w:themeColor="background2" w:themeShade="40"/>
        </w:rPr>
      </w:pPr>
      <w:r w:rsidRPr="00FA15A1">
        <w:rPr>
          <w:rFonts w:ascii="Calibri" w:hAnsi="Calibri" w:cs="Calibri"/>
          <w:b/>
          <w:color w:val="3B3838" w:themeColor="background2" w:themeShade="40"/>
        </w:rPr>
        <w:t>Pour</w:t>
      </w:r>
      <w:r w:rsidR="00466E50" w:rsidRPr="00FA15A1">
        <w:rPr>
          <w:rFonts w:ascii="Calibri" w:hAnsi="Calibri" w:cs="Calibri"/>
          <w:b/>
          <w:color w:val="3B3838" w:themeColor="background2" w:themeShade="40"/>
        </w:rPr>
        <w:t xml:space="preserve"> les thématiques relevant de</w:t>
      </w:r>
      <w:r w:rsidRPr="00FA15A1">
        <w:rPr>
          <w:rFonts w:ascii="Calibri" w:hAnsi="Calibri" w:cs="Calibri"/>
          <w:b/>
          <w:color w:val="3B3838" w:themeColor="background2" w:themeShade="40"/>
        </w:rPr>
        <w:t xml:space="preserve"> </w:t>
      </w:r>
      <w:proofErr w:type="gramStart"/>
      <w:r w:rsidRPr="00FA15A1">
        <w:rPr>
          <w:rFonts w:ascii="Calibri" w:hAnsi="Calibri" w:cs="Calibri"/>
          <w:b/>
          <w:color w:val="3B3838" w:themeColor="background2" w:themeShade="40"/>
        </w:rPr>
        <w:t>l’ ED</w:t>
      </w:r>
      <w:proofErr w:type="gramEnd"/>
      <w:r w:rsidRPr="00FA15A1">
        <w:rPr>
          <w:rFonts w:ascii="Calibri" w:hAnsi="Calibri" w:cs="Calibri"/>
          <w:b/>
          <w:color w:val="3B3838" w:themeColor="background2" w:themeShade="40"/>
        </w:rPr>
        <w:t xml:space="preserve"> 305</w:t>
      </w:r>
      <w:r w:rsidRPr="00FA15A1">
        <w:rPr>
          <w:rFonts w:ascii="Calibri" w:hAnsi="Calibri" w:cs="Calibri"/>
          <w:color w:val="3B3838" w:themeColor="background2" w:themeShade="40"/>
        </w:rPr>
        <w:t> :</w:t>
      </w:r>
    </w:p>
    <w:p w14:paraId="68A5FE19" w14:textId="77777777" w:rsidR="00BB3468" w:rsidRPr="00FA15A1" w:rsidRDefault="00BB3468" w:rsidP="00BB3468">
      <w:pPr>
        <w:pStyle w:val="Paragraphedeliste"/>
        <w:tabs>
          <w:tab w:val="left" w:pos="851"/>
        </w:tabs>
        <w:spacing w:after="0" w:line="240" w:lineRule="auto"/>
        <w:ind w:left="927"/>
        <w:jc w:val="both"/>
        <w:rPr>
          <w:rFonts w:ascii="Calibri" w:hAnsi="Calibri" w:cs="Calibri"/>
          <w:color w:val="3B3838" w:themeColor="background2" w:themeShade="40"/>
        </w:rPr>
      </w:pPr>
    </w:p>
    <w:p w14:paraId="4311E8A9" w14:textId="77777777" w:rsidR="00BB3468" w:rsidRPr="009805EF" w:rsidRDefault="00BB3468" w:rsidP="00FA15A1">
      <w:pPr>
        <w:pStyle w:val="Paragraphedeliste"/>
        <w:numPr>
          <w:ilvl w:val="0"/>
          <w:numId w:val="12"/>
        </w:numPr>
        <w:spacing w:after="0" w:line="240" w:lineRule="auto"/>
        <w:ind w:left="851" w:hanging="284"/>
        <w:jc w:val="both"/>
        <w:rPr>
          <w:rFonts w:ascii="Calibri" w:hAnsi="Calibri" w:cs="Calibri"/>
          <w:b/>
          <w:color w:val="3B3838" w:themeColor="background2" w:themeShade="40"/>
        </w:rPr>
      </w:pPr>
      <w:r w:rsidRPr="009805EF">
        <w:rPr>
          <w:rFonts w:ascii="Calibri" w:hAnsi="Calibri" w:cs="Calibri"/>
          <w:b/>
          <w:color w:val="3B3838" w:themeColor="background2" w:themeShade="40"/>
        </w:rPr>
        <w:t>Son manuscrit d’habilitation en version PDF</w:t>
      </w:r>
    </w:p>
    <w:p w14:paraId="21178499" w14:textId="77777777" w:rsidR="00BB3468" w:rsidRPr="009805EF" w:rsidRDefault="00BB3468" w:rsidP="00FA15A1">
      <w:pPr>
        <w:pStyle w:val="Paragraphedeliste"/>
        <w:numPr>
          <w:ilvl w:val="0"/>
          <w:numId w:val="12"/>
        </w:numPr>
        <w:spacing w:after="0" w:line="240" w:lineRule="auto"/>
        <w:ind w:left="851" w:hanging="284"/>
        <w:jc w:val="both"/>
        <w:rPr>
          <w:rFonts w:ascii="Calibri" w:hAnsi="Calibri" w:cs="Calibri"/>
          <w:b/>
          <w:color w:val="3B3838" w:themeColor="background2" w:themeShade="40"/>
        </w:rPr>
      </w:pPr>
      <w:r w:rsidRPr="009805EF">
        <w:rPr>
          <w:rFonts w:ascii="Calibri" w:hAnsi="Calibri" w:cs="Calibri"/>
          <w:b/>
          <w:color w:val="3B3838" w:themeColor="background2" w:themeShade="40"/>
        </w:rPr>
        <w:t>Un résumé du manuscrit en une page pour diffusion de l’avis de soutenance</w:t>
      </w:r>
    </w:p>
    <w:p w14:paraId="1E4695F6" w14:textId="77777777" w:rsidR="00BB3468" w:rsidRPr="009805EF" w:rsidRDefault="00BB3468" w:rsidP="00FA15A1">
      <w:pPr>
        <w:pStyle w:val="Paragraphedeliste"/>
        <w:spacing w:after="0" w:line="240" w:lineRule="auto"/>
        <w:ind w:left="851" w:hanging="284"/>
        <w:jc w:val="both"/>
        <w:rPr>
          <w:rFonts w:ascii="Calibri" w:hAnsi="Calibri" w:cs="Calibri"/>
          <w:color w:val="3B3838" w:themeColor="background2" w:themeShade="40"/>
        </w:rPr>
      </w:pPr>
    </w:p>
    <w:p w14:paraId="14F3B092" w14:textId="1A83492F" w:rsidR="00BB3468" w:rsidRPr="00965347" w:rsidRDefault="00BB3468" w:rsidP="00965347">
      <w:pPr>
        <w:pStyle w:val="Paragraphedeliste"/>
        <w:numPr>
          <w:ilvl w:val="0"/>
          <w:numId w:val="15"/>
        </w:numPr>
        <w:spacing w:after="0" w:line="240" w:lineRule="auto"/>
        <w:ind w:left="567" w:hanging="567"/>
        <w:jc w:val="both"/>
        <w:rPr>
          <w:rFonts w:ascii="Calibri" w:hAnsi="Calibri" w:cs="Calibri"/>
          <w:color w:val="3B3838" w:themeColor="background2" w:themeShade="40"/>
        </w:rPr>
      </w:pPr>
      <w:r w:rsidRPr="00965347">
        <w:rPr>
          <w:rFonts w:ascii="Calibri" w:hAnsi="Calibri" w:cs="Calibri"/>
          <w:b/>
          <w:color w:val="3B3838" w:themeColor="background2" w:themeShade="40"/>
        </w:rPr>
        <w:t xml:space="preserve">Pour </w:t>
      </w:r>
      <w:r w:rsidR="00466E50" w:rsidRPr="00965347">
        <w:rPr>
          <w:rFonts w:ascii="Calibri" w:hAnsi="Calibri" w:cs="Calibri"/>
          <w:b/>
          <w:color w:val="3B3838" w:themeColor="background2" w:themeShade="40"/>
        </w:rPr>
        <w:t xml:space="preserve">les thématiques relevant de </w:t>
      </w:r>
      <w:r w:rsidRPr="00965347">
        <w:rPr>
          <w:rFonts w:ascii="Calibri" w:hAnsi="Calibri" w:cs="Calibri"/>
          <w:b/>
          <w:color w:val="3B3838" w:themeColor="background2" w:themeShade="40"/>
        </w:rPr>
        <w:t>l’ED 544</w:t>
      </w:r>
      <w:r w:rsidRPr="00965347">
        <w:rPr>
          <w:rFonts w:ascii="Calibri" w:hAnsi="Calibri" w:cs="Calibri"/>
          <w:color w:val="3B3838" w:themeColor="background2" w:themeShade="40"/>
        </w:rPr>
        <w:t> :</w:t>
      </w:r>
    </w:p>
    <w:p w14:paraId="63C99F56" w14:textId="77777777" w:rsidR="00BB3468" w:rsidRPr="009805EF" w:rsidRDefault="00BB3468" w:rsidP="00BB3468">
      <w:pPr>
        <w:pStyle w:val="Paragraphedeliste"/>
        <w:spacing w:after="0" w:line="240" w:lineRule="auto"/>
        <w:ind w:left="851"/>
        <w:jc w:val="both"/>
        <w:rPr>
          <w:rFonts w:ascii="Calibri" w:hAnsi="Calibri" w:cs="Calibri"/>
          <w:color w:val="3B3838" w:themeColor="background2" w:themeShade="40"/>
        </w:rPr>
      </w:pPr>
    </w:p>
    <w:p w14:paraId="110DCDF0" w14:textId="45990EEF" w:rsidR="002732C6" w:rsidRDefault="00E237D6" w:rsidP="00FA15A1">
      <w:pPr>
        <w:pStyle w:val="Paragraphedeliste"/>
        <w:numPr>
          <w:ilvl w:val="0"/>
          <w:numId w:val="21"/>
        </w:numPr>
        <w:tabs>
          <w:tab w:val="left" w:pos="284"/>
        </w:tabs>
        <w:spacing w:after="0" w:line="240" w:lineRule="auto"/>
        <w:ind w:left="851" w:hanging="284"/>
        <w:jc w:val="both"/>
        <w:rPr>
          <w:rFonts w:ascii="Calibri" w:hAnsi="Calibri" w:cs="Calibri"/>
          <w:color w:val="3B3838" w:themeColor="background2" w:themeShade="40"/>
        </w:rPr>
      </w:pPr>
      <w:r w:rsidRPr="002732C6">
        <w:rPr>
          <w:rFonts w:ascii="Calibri" w:hAnsi="Calibri" w:cs="Calibri"/>
          <w:b/>
          <w:bCs/>
          <w:color w:val="3B3838" w:themeColor="background2" w:themeShade="40"/>
        </w:rPr>
        <w:t>Un m</w:t>
      </w:r>
      <w:r w:rsidR="00BB3468" w:rsidRPr="002732C6">
        <w:rPr>
          <w:rFonts w:ascii="Calibri" w:hAnsi="Calibri" w:cs="Calibri"/>
          <w:b/>
          <w:bCs/>
          <w:color w:val="3B3838" w:themeColor="background2" w:themeShade="40"/>
        </w:rPr>
        <w:t>émoire inédit</w:t>
      </w:r>
      <w:r w:rsidR="00BB3468" w:rsidRPr="002732C6">
        <w:rPr>
          <w:rFonts w:ascii="Calibri" w:hAnsi="Calibri" w:cs="Calibri"/>
          <w:color w:val="3B3838" w:themeColor="background2" w:themeShade="40"/>
        </w:rPr>
        <w:t xml:space="preserve"> (</w:t>
      </w:r>
      <w:proofErr w:type="spellStart"/>
      <w:r w:rsidR="00BB3468" w:rsidRPr="002732C6">
        <w:rPr>
          <w:rStyle w:val="lev"/>
          <w:rFonts w:ascii="Calibri" w:hAnsi="Calibri" w:cs="Calibri"/>
          <w:color w:val="3B3838" w:themeColor="background2" w:themeShade="40"/>
        </w:rPr>
        <w:t>mémoire</w:t>
      </w:r>
      <w:proofErr w:type="spellEnd"/>
      <w:r w:rsidR="00BB3468" w:rsidRPr="002732C6">
        <w:rPr>
          <w:rStyle w:val="lev"/>
          <w:rFonts w:ascii="Calibri" w:hAnsi="Calibri" w:cs="Calibri"/>
          <w:color w:val="3B3838" w:themeColor="background2" w:themeShade="40"/>
        </w:rPr>
        <w:t xml:space="preserve"> scientifique original</w:t>
      </w:r>
      <w:r w:rsidR="00BB3468" w:rsidRPr="002732C6">
        <w:rPr>
          <w:rFonts w:ascii="Calibri" w:hAnsi="Calibri" w:cs="Calibri"/>
          <w:color w:val="3B3838" w:themeColor="background2" w:themeShade="40"/>
        </w:rPr>
        <w:t xml:space="preserve">, </w:t>
      </w:r>
      <w:r w:rsidR="0029627C" w:rsidRPr="002732C6">
        <w:rPr>
          <w:rFonts w:ascii="Calibri" w:hAnsi="Calibri" w:cs="Calibri"/>
          <w:b/>
          <w:color w:val="3B3838" w:themeColor="background2" w:themeShade="40"/>
        </w:rPr>
        <w:t>p</w:t>
      </w:r>
      <w:r w:rsidR="00BB3468" w:rsidRPr="002732C6">
        <w:rPr>
          <w:rFonts w:ascii="Calibri" w:hAnsi="Calibri" w:cs="Calibri"/>
          <w:b/>
          <w:color w:val="3B3838" w:themeColor="background2" w:themeShade="40"/>
        </w:rPr>
        <w:t xml:space="preserve">osition et projet </w:t>
      </w:r>
      <w:proofErr w:type="gramStart"/>
      <w:r w:rsidR="00BB3468" w:rsidRPr="002732C6">
        <w:rPr>
          <w:rFonts w:ascii="Calibri" w:hAnsi="Calibri" w:cs="Calibri"/>
          <w:b/>
          <w:color w:val="3B3838" w:themeColor="background2" w:themeShade="40"/>
        </w:rPr>
        <w:t>scientifique</w:t>
      </w:r>
      <w:r w:rsidR="00BB3468" w:rsidRPr="002732C6">
        <w:rPr>
          <w:rFonts w:ascii="Calibri" w:hAnsi="Calibri" w:cs="Calibri"/>
          <w:color w:val="3B3838" w:themeColor="background2" w:themeShade="40"/>
        </w:rPr>
        <w:t> ,</w:t>
      </w:r>
      <w:proofErr w:type="gramEnd"/>
      <w:r w:rsidR="00BB3468" w:rsidRPr="002732C6">
        <w:rPr>
          <w:rFonts w:ascii="Calibri" w:hAnsi="Calibri" w:cs="Calibri"/>
          <w:color w:val="3B3838" w:themeColor="background2" w:themeShade="40"/>
        </w:rPr>
        <w:t xml:space="preserve"> ou le livre qui en est tiré si le </w:t>
      </w:r>
      <w:proofErr w:type="spellStart"/>
      <w:r w:rsidR="00BB3468" w:rsidRPr="002732C6">
        <w:rPr>
          <w:rFonts w:ascii="Calibri" w:hAnsi="Calibri" w:cs="Calibri"/>
          <w:color w:val="3B3838" w:themeColor="background2" w:themeShade="40"/>
        </w:rPr>
        <w:t>mémoire</w:t>
      </w:r>
      <w:proofErr w:type="spellEnd"/>
      <w:r w:rsidR="00BB3468" w:rsidRPr="002732C6">
        <w:rPr>
          <w:rFonts w:ascii="Calibri" w:hAnsi="Calibri" w:cs="Calibri"/>
          <w:color w:val="3B3838" w:themeColor="background2" w:themeShade="40"/>
        </w:rPr>
        <w:t xml:space="preserve"> a </w:t>
      </w:r>
      <w:proofErr w:type="spellStart"/>
      <w:r w:rsidR="00BB3468" w:rsidRPr="002732C6">
        <w:rPr>
          <w:rFonts w:ascii="Calibri" w:hAnsi="Calibri" w:cs="Calibri"/>
          <w:color w:val="3B3838" w:themeColor="background2" w:themeShade="40"/>
        </w:rPr>
        <w:t>éte</w:t>
      </w:r>
      <w:proofErr w:type="spellEnd"/>
      <w:r w:rsidR="00BB3468" w:rsidRPr="002732C6">
        <w:rPr>
          <w:rFonts w:ascii="Calibri" w:hAnsi="Calibri" w:cs="Calibri"/>
          <w:color w:val="3B3838" w:themeColor="background2" w:themeShade="40"/>
        </w:rPr>
        <w:t xml:space="preserve">́ publié), mettant en perspective les travaux et </w:t>
      </w:r>
      <w:r w:rsidR="00CD7913" w:rsidRPr="002732C6">
        <w:rPr>
          <w:rFonts w:ascii="Calibri" w:hAnsi="Calibri" w:cs="Calibri"/>
          <w:color w:val="3B3838" w:themeColor="background2" w:themeShade="40"/>
        </w:rPr>
        <w:t xml:space="preserve">indiquant </w:t>
      </w:r>
      <w:r w:rsidR="00BB3468" w:rsidRPr="002732C6">
        <w:rPr>
          <w:rFonts w:ascii="Calibri" w:hAnsi="Calibri" w:cs="Calibri"/>
          <w:color w:val="3B3838" w:themeColor="background2" w:themeShade="40"/>
        </w:rPr>
        <w:t xml:space="preserve">la posture scientifique du candidat : son apport, sa méthode. Le projet scientifique doit être mis en relief. Des développements rédigés sur son programme de recherche et d’encadrement. </w:t>
      </w:r>
      <w:r w:rsidR="002732C6" w:rsidRPr="003563DA">
        <w:rPr>
          <w:rFonts w:ascii="Calibri" w:hAnsi="Calibri" w:cs="Calibri"/>
          <w:color w:val="3B3838" w:themeColor="background2" w:themeShade="40"/>
        </w:rPr>
        <w:t>Un minimum de 80 pages est exigé, le maximum ne pouvant dépasser 250 pages</w:t>
      </w:r>
    </w:p>
    <w:p w14:paraId="3E281AC5" w14:textId="208E6036" w:rsidR="00BB3468" w:rsidRDefault="00CD7913" w:rsidP="00FA15A1">
      <w:pPr>
        <w:pStyle w:val="Paragraphedeliste"/>
        <w:numPr>
          <w:ilvl w:val="0"/>
          <w:numId w:val="21"/>
        </w:numPr>
        <w:tabs>
          <w:tab w:val="left" w:pos="284"/>
        </w:tabs>
        <w:spacing w:after="0" w:line="240" w:lineRule="auto"/>
        <w:ind w:left="851" w:hanging="284"/>
        <w:jc w:val="both"/>
        <w:rPr>
          <w:rFonts w:ascii="Calibri" w:hAnsi="Calibri" w:cs="Calibri"/>
          <w:color w:val="3B3838" w:themeColor="background2" w:themeShade="40"/>
        </w:rPr>
      </w:pPr>
      <w:r w:rsidRPr="00FA15A1">
        <w:rPr>
          <w:rFonts w:ascii="Calibri" w:hAnsi="Calibri" w:cs="Calibri"/>
          <w:b/>
          <w:bCs/>
          <w:color w:val="3B3838" w:themeColor="background2" w:themeShade="40"/>
        </w:rPr>
        <w:t>Une s</w:t>
      </w:r>
      <w:r w:rsidR="00BB3468" w:rsidRPr="00FA15A1">
        <w:rPr>
          <w:rFonts w:ascii="Calibri" w:hAnsi="Calibri" w:cs="Calibri"/>
          <w:b/>
          <w:bCs/>
          <w:color w:val="3B3838" w:themeColor="background2" w:themeShade="40"/>
        </w:rPr>
        <w:t>ynthèse</w:t>
      </w:r>
      <w:r w:rsidR="00BB3468" w:rsidRPr="00FA15A1">
        <w:rPr>
          <w:rFonts w:ascii="Calibri" w:hAnsi="Calibri" w:cs="Calibri"/>
          <w:color w:val="3B3838" w:themeColor="background2" w:themeShade="40"/>
        </w:rPr>
        <w:t> (</w:t>
      </w:r>
      <w:r w:rsidR="00BB3468" w:rsidRPr="00FA15A1">
        <w:rPr>
          <w:rStyle w:val="lev"/>
          <w:rFonts w:ascii="Calibri" w:hAnsi="Calibri" w:cs="Calibri"/>
          <w:color w:val="3B3838" w:themeColor="background2" w:themeShade="40"/>
        </w:rPr>
        <w:t>dossier autobiographique</w:t>
      </w:r>
      <w:r w:rsidR="00BB3468" w:rsidRPr="00FA15A1">
        <w:rPr>
          <w:rFonts w:ascii="Calibri" w:hAnsi="Calibri" w:cs="Calibri"/>
          <w:b/>
          <w:bCs/>
          <w:color w:val="3B3838" w:themeColor="background2" w:themeShade="40"/>
        </w:rPr>
        <w:t>,</w:t>
      </w:r>
      <w:r w:rsidR="00BB3468" w:rsidRPr="00FA15A1">
        <w:rPr>
          <w:rFonts w:ascii="Calibri" w:hAnsi="Calibri" w:cs="Calibri"/>
          <w:color w:val="3B3838" w:themeColor="background2" w:themeShade="40"/>
        </w:rPr>
        <w:t xml:space="preserve"> </w:t>
      </w:r>
      <w:proofErr w:type="spellStart"/>
      <w:r w:rsidR="00BB3468" w:rsidRPr="00FA15A1">
        <w:rPr>
          <w:rFonts w:ascii="Calibri" w:hAnsi="Calibri" w:cs="Calibri"/>
          <w:b/>
          <w:color w:val="3B3838" w:themeColor="background2" w:themeShade="40"/>
        </w:rPr>
        <w:t>mémoire</w:t>
      </w:r>
      <w:proofErr w:type="spellEnd"/>
      <w:r w:rsidR="00BB3468" w:rsidRPr="00FA15A1">
        <w:rPr>
          <w:rFonts w:ascii="Calibri" w:hAnsi="Calibri" w:cs="Calibri"/>
          <w:b/>
          <w:color w:val="3B3838" w:themeColor="background2" w:themeShade="40"/>
        </w:rPr>
        <w:t xml:space="preserve"> de </w:t>
      </w:r>
      <w:proofErr w:type="spellStart"/>
      <w:r w:rsidR="00BB3468" w:rsidRPr="00FA15A1">
        <w:rPr>
          <w:rFonts w:ascii="Calibri" w:hAnsi="Calibri" w:cs="Calibri"/>
          <w:b/>
          <w:color w:val="3B3838" w:themeColor="background2" w:themeShade="40"/>
        </w:rPr>
        <w:t>synthèse</w:t>
      </w:r>
      <w:proofErr w:type="spellEnd"/>
      <w:r w:rsidR="00BB3468" w:rsidRPr="00FA15A1">
        <w:rPr>
          <w:rFonts w:ascii="Calibri" w:hAnsi="Calibri" w:cs="Calibri"/>
          <w:b/>
          <w:color w:val="3B3838" w:themeColor="background2" w:themeShade="40"/>
        </w:rPr>
        <w:t xml:space="preserve">, </w:t>
      </w:r>
      <w:r w:rsidR="00BB3468" w:rsidRPr="00FA15A1">
        <w:rPr>
          <w:rFonts w:ascii="Calibri" w:eastAsia="Times New Roman" w:hAnsi="Calibri" w:cs="Calibri"/>
          <w:b/>
          <w:color w:val="3B3838" w:themeColor="background2" w:themeShade="40"/>
          <w:lang w:eastAsia="fr-FR"/>
        </w:rPr>
        <w:t>égo-histoire</w:t>
      </w:r>
      <w:r w:rsidR="00BB3468" w:rsidRPr="00FA15A1">
        <w:rPr>
          <w:rFonts w:ascii="Calibri" w:hAnsi="Calibri" w:cs="Calibri"/>
          <w:color w:val="3B3838" w:themeColor="background2" w:themeShade="40"/>
        </w:rPr>
        <w:t xml:space="preserve">) : Bilan critique de sa propre démarche scientifique et réflexion distancée sur la pratique. Mise en perspective de travaux de recherche et d’une production scientifique pour montrer l’apport à une discipline au plan national et international. </w:t>
      </w:r>
    </w:p>
    <w:p w14:paraId="2397C891" w14:textId="77A5DE4C" w:rsidR="00BB3468" w:rsidRPr="00FA15A1" w:rsidRDefault="00CD7913" w:rsidP="00FA15A1">
      <w:pPr>
        <w:pStyle w:val="Paragraphedeliste"/>
        <w:numPr>
          <w:ilvl w:val="0"/>
          <w:numId w:val="21"/>
        </w:numPr>
        <w:tabs>
          <w:tab w:val="left" w:pos="284"/>
        </w:tabs>
        <w:spacing w:after="0" w:line="240" w:lineRule="auto"/>
        <w:ind w:left="851" w:hanging="284"/>
        <w:jc w:val="both"/>
        <w:rPr>
          <w:rFonts w:cstheme="minorHAnsi"/>
          <w:color w:val="3B3838" w:themeColor="background2" w:themeShade="40"/>
        </w:rPr>
      </w:pPr>
      <w:r w:rsidRPr="00FA15A1">
        <w:rPr>
          <w:rStyle w:val="lev"/>
          <w:rFonts w:cstheme="minorHAnsi"/>
          <w:color w:val="3B3838" w:themeColor="background2" w:themeShade="40"/>
        </w:rPr>
        <w:t>Un v</w:t>
      </w:r>
      <w:r w:rsidR="00BB3468" w:rsidRPr="00FA15A1">
        <w:rPr>
          <w:rStyle w:val="lev"/>
          <w:rFonts w:cstheme="minorHAnsi"/>
          <w:color w:val="3B3838" w:themeColor="background2" w:themeShade="40"/>
        </w:rPr>
        <w:t>olume de travaux</w:t>
      </w:r>
      <w:r w:rsidR="00BB3468" w:rsidRPr="00FA15A1">
        <w:rPr>
          <w:rFonts w:cstheme="minorHAnsi"/>
          <w:color w:val="3B3838" w:themeColor="background2" w:themeShade="40"/>
        </w:rPr>
        <w:t> (à partir desquels la synthèse a été rédig</w:t>
      </w:r>
      <w:r w:rsidR="002732C6">
        <w:rPr>
          <w:rFonts w:cstheme="minorHAnsi"/>
          <w:color w:val="3B3838" w:themeColor="background2" w:themeShade="40"/>
        </w:rPr>
        <w:t>e</w:t>
      </w:r>
      <w:r w:rsidR="00BB3468" w:rsidRPr="00FA15A1">
        <w:rPr>
          <w:rFonts w:cstheme="minorHAnsi"/>
          <w:strike/>
          <w:color w:val="3B3838" w:themeColor="background2" w:themeShade="40"/>
        </w:rPr>
        <w:t>s</w:t>
      </w:r>
      <w:r w:rsidR="00BB3468" w:rsidRPr="00FA15A1">
        <w:rPr>
          <w:rFonts w:cstheme="minorHAnsi"/>
          <w:color w:val="3B3838" w:themeColor="background2" w:themeShade="40"/>
        </w:rPr>
        <w:t xml:space="preserve"> ou tous les </w:t>
      </w:r>
      <w:r w:rsidRPr="00FA15A1">
        <w:rPr>
          <w:rFonts w:cstheme="minorHAnsi"/>
          <w:color w:val="3B3838" w:themeColor="background2" w:themeShade="40"/>
        </w:rPr>
        <w:t xml:space="preserve">travaux </w:t>
      </w:r>
      <w:r w:rsidR="00BB3468" w:rsidRPr="00FA15A1">
        <w:rPr>
          <w:rFonts w:cstheme="minorHAnsi"/>
          <w:color w:val="3B3838" w:themeColor="background2" w:themeShade="40"/>
        </w:rPr>
        <w:t>publiés depuis la thèse).</w:t>
      </w:r>
    </w:p>
    <w:p w14:paraId="10F623B7" w14:textId="77777777" w:rsidR="00BB3468" w:rsidRPr="009805EF" w:rsidRDefault="00BB3468" w:rsidP="00BB3468">
      <w:pPr>
        <w:spacing w:after="0" w:line="240" w:lineRule="auto"/>
        <w:jc w:val="both"/>
        <w:rPr>
          <w:color w:val="3B3838" w:themeColor="background2" w:themeShade="40"/>
        </w:rPr>
      </w:pPr>
    </w:p>
    <w:p w14:paraId="4DC4F06E" w14:textId="77777777" w:rsidR="00BB3468" w:rsidRPr="00FF7688" w:rsidRDefault="00BB3468" w:rsidP="00BB3468">
      <w:pPr>
        <w:spacing w:after="0" w:line="240" w:lineRule="auto"/>
        <w:jc w:val="both"/>
        <w:rPr>
          <w:color w:val="3B3838" w:themeColor="background2" w:themeShade="40"/>
        </w:rPr>
      </w:pPr>
      <w:r w:rsidRPr="00FF7688">
        <w:rPr>
          <w:color w:val="3B3838" w:themeColor="background2" w:themeShade="40"/>
        </w:rPr>
        <w:t>Le candidat peut mettre à jour et déposer une nouvelle version de l’annexe C. Tout changement d’un des membres du jury devra être accompagné d’un argumentaire du candidat.</w:t>
      </w:r>
    </w:p>
    <w:p w14:paraId="17489AB5" w14:textId="77777777" w:rsidR="00BB3468" w:rsidRPr="008A3968" w:rsidRDefault="00BB3468" w:rsidP="00BB3468">
      <w:pPr>
        <w:spacing w:after="0" w:line="240" w:lineRule="auto"/>
        <w:jc w:val="both"/>
      </w:pPr>
    </w:p>
    <w:p w14:paraId="5763D710" w14:textId="77777777" w:rsidR="00FF7688" w:rsidRDefault="00FF7688" w:rsidP="00BB3468">
      <w:pPr>
        <w:spacing w:after="0" w:line="240" w:lineRule="auto"/>
        <w:jc w:val="both"/>
        <w:rPr>
          <w:i/>
          <w:color w:val="FF0000"/>
        </w:rPr>
      </w:pPr>
    </w:p>
    <w:p w14:paraId="61C9BE02" w14:textId="4545F731" w:rsidR="00BB3468" w:rsidRPr="00FF7688" w:rsidRDefault="00BB3468" w:rsidP="00BB3468">
      <w:pPr>
        <w:jc w:val="both"/>
        <w:rPr>
          <w:b/>
          <w:color w:val="3B3838" w:themeColor="background2" w:themeShade="40"/>
          <w:sz w:val="24"/>
          <w:szCs w:val="24"/>
        </w:rPr>
      </w:pPr>
      <w:r w:rsidRPr="00FF7688">
        <w:rPr>
          <w:b/>
          <w:color w:val="3B3838" w:themeColor="background2" w:themeShade="40"/>
          <w:sz w:val="24"/>
          <w:szCs w:val="24"/>
        </w:rPr>
        <w:t>PROCEDURE</w:t>
      </w:r>
    </w:p>
    <w:p w14:paraId="138B4AD7" w14:textId="21784188" w:rsidR="00BB3468" w:rsidRPr="00FF7688" w:rsidRDefault="00BB3468" w:rsidP="00BB3468">
      <w:pPr>
        <w:pStyle w:val="Paragraphedeliste"/>
        <w:numPr>
          <w:ilvl w:val="0"/>
          <w:numId w:val="18"/>
        </w:numPr>
        <w:ind w:left="567" w:hanging="567"/>
        <w:jc w:val="both"/>
        <w:rPr>
          <w:b/>
          <w:color w:val="3B3838" w:themeColor="background2" w:themeShade="40"/>
          <w:sz w:val="24"/>
          <w:szCs w:val="24"/>
        </w:rPr>
      </w:pPr>
      <w:r w:rsidRPr="00FF7688">
        <w:rPr>
          <w:b/>
          <w:color w:val="3B3838" w:themeColor="background2" w:themeShade="40"/>
          <w:sz w:val="24"/>
          <w:szCs w:val="24"/>
        </w:rPr>
        <w:t xml:space="preserve">Désignation des rapporteurs pour l’autorisation de soutenance </w:t>
      </w:r>
      <w:r w:rsidR="002732C6">
        <w:rPr>
          <w:b/>
          <w:color w:val="3B3838" w:themeColor="background2" w:themeShade="40"/>
          <w:sz w:val="24"/>
          <w:szCs w:val="24"/>
        </w:rPr>
        <w:t>de</w:t>
      </w:r>
      <w:r w:rsidRPr="00FF7688">
        <w:rPr>
          <w:b/>
          <w:color w:val="3B3838" w:themeColor="background2" w:themeShade="40"/>
          <w:sz w:val="24"/>
          <w:szCs w:val="24"/>
        </w:rPr>
        <w:t xml:space="preserve"> l</w:t>
      </w:r>
      <w:r w:rsidR="00CD7913">
        <w:rPr>
          <w:b/>
          <w:color w:val="3B3838" w:themeColor="background2" w:themeShade="40"/>
          <w:sz w:val="24"/>
          <w:szCs w:val="24"/>
        </w:rPr>
        <w:t>‘</w:t>
      </w:r>
      <w:r w:rsidRPr="00FF7688">
        <w:rPr>
          <w:b/>
          <w:color w:val="3B3838" w:themeColor="background2" w:themeShade="40"/>
          <w:sz w:val="24"/>
          <w:szCs w:val="24"/>
        </w:rPr>
        <w:t>HDR</w:t>
      </w:r>
    </w:p>
    <w:p w14:paraId="61C2D419" w14:textId="77777777" w:rsidR="00BB3468" w:rsidRPr="00FF7688" w:rsidRDefault="00BB3468" w:rsidP="00BB3468">
      <w:pPr>
        <w:pStyle w:val="Paragraphedeliste"/>
        <w:ind w:left="567"/>
        <w:jc w:val="both"/>
        <w:rPr>
          <w:color w:val="3B3838" w:themeColor="background2" w:themeShade="40"/>
          <w:sz w:val="24"/>
          <w:szCs w:val="24"/>
          <w:highlight w:val="yellow"/>
        </w:rPr>
      </w:pPr>
    </w:p>
    <w:p w14:paraId="0A4FB38E" w14:textId="381A9B1C" w:rsidR="00BB3468" w:rsidRPr="00FF7688" w:rsidRDefault="00BB3468" w:rsidP="00BB3468">
      <w:pPr>
        <w:pStyle w:val="Paragraphedeliste"/>
        <w:spacing w:after="0" w:line="240" w:lineRule="auto"/>
        <w:ind w:left="567"/>
        <w:jc w:val="both"/>
        <w:rPr>
          <w:color w:val="3B3838" w:themeColor="background2" w:themeShade="40"/>
        </w:rPr>
      </w:pPr>
      <w:r w:rsidRPr="00FF7688">
        <w:rPr>
          <w:color w:val="3B3838" w:themeColor="background2" w:themeShade="40"/>
        </w:rPr>
        <w:t>L'autorisation de se présenter devant le jury est accordée par le président de l'établissement. Il confie le soin d’examiner les travaux du candidat à trois rapporteurs choisis en raison de leur compétence.</w:t>
      </w:r>
    </w:p>
    <w:p w14:paraId="2EA7F45A" w14:textId="77777777" w:rsidR="00BB3468" w:rsidRPr="00FF7688" w:rsidRDefault="00BB3468" w:rsidP="00BB3468">
      <w:pPr>
        <w:pStyle w:val="Paragraphedeliste"/>
        <w:spacing w:after="0" w:line="240" w:lineRule="auto"/>
        <w:ind w:left="567"/>
        <w:jc w:val="both"/>
        <w:rPr>
          <w:color w:val="3B3838" w:themeColor="background2" w:themeShade="40"/>
        </w:rPr>
      </w:pPr>
    </w:p>
    <w:p w14:paraId="7C55E926" w14:textId="07920BA7" w:rsidR="00BB3468" w:rsidRDefault="00BB3468" w:rsidP="00BB3468">
      <w:pPr>
        <w:spacing w:after="0" w:line="240" w:lineRule="auto"/>
        <w:ind w:left="567"/>
        <w:jc w:val="both"/>
        <w:rPr>
          <w:color w:val="3B3838" w:themeColor="background2" w:themeShade="40"/>
        </w:rPr>
      </w:pPr>
      <w:r w:rsidRPr="00FA15A1">
        <w:rPr>
          <w:color w:val="3B3838" w:themeColor="background2" w:themeShade="40"/>
        </w:rPr>
        <w:t xml:space="preserve">Le candidat propose impérativement </w:t>
      </w:r>
      <w:r w:rsidR="00CD7913" w:rsidRPr="00FA15A1">
        <w:rPr>
          <w:color w:val="3B3838" w:themeColor="background2" w:themeShade="40"/>
        </w:rPr>
        <w:t xml:space="preserve">une liste de </w:t>
      </w:r>
      <w:r w:rsidRPr="00FA15A1">
        <w:rPr>
          <w:color w:val="3B3838" w:themeColor="background2" w:themeShade="40"/>
        </w:rPr>
        <w:t>cinq rapporteurs (annexe B)</w:t>
      </w:r>
      <w:r w:rsidR="00CD7913" w:rsidRPr="00FA15A1">
        <w:rPr>
          <w:color w:val="3B3838" w:themeColor="background2" w:themeShade="40"/>
        </w:rPr>
        <w:t xml:space="preserve"> </w:t>
      </w:r>
      <w:r w:rsidR="00EF166C" w:rsidRPr="00FA15A1">
        <w:rPr>
          <w:color w:val="3B3838" w:themeColor="background2" w:themeShade="40"/>
        </w:rPr>
        <w:t xml:space="preserve">qui </w:t>
      </w:r>
      <w:r w:rsidRPr="00FA15A1">
        <w:rPr>
          <w:color w:val="3B3838" w:themeColor="background2" w:themeShade="40"/>
        </w:rPr>
        <w:t>:</w:t>
      </w:r>
    </w:p>
    <w:p w14:paraId="08D5B58D" w14:textId="77777777" w:rsidR="00FA15A1" w:rsidRPr="00FA15A1" w:rsidRDefault="00FA15A1" w:rsidP="00BB3468">
      <w:pPr>
        <w:spacing w:after="0" w:line="240" w:lineRule="auto"/>
        <w:ind w:left="567"/>
        <w:jc w:val="both"/>
        <w:rPr>
          <w:color w:val="3B3838" w:themeColor="background2" w:themeShade="40"/>
        </w:rPr>
      </w:pPr>
    </w:p>
    <w:p w14:paraId="06DE4973" w14:textId="5C68CE52" w:rsidR="00BB3468" w:rsidRPr="00FA15A1" w:rsidRDefault="00BB3468" w:rsidP="00BB3468">
      <w:pPr>
        <w:pStyle w:val="Paragraphedeliste"/>
        <w:numPr>
          <w:ilvl w:val="0"/>
          <w:numId w:val="19"/>
        </w:numPr>
        <w:spacing w:after="0" w:line="240" w:lineRule="auto"/>
        <w:jc w:val="both"/>
        <w:rPr>
          <w:color w:val="3B3838" w:themeColor="background2" w:themeShade="40"/>
        </w:rPr>
      </w:pPr>
      <w:proofErr w:type="gramStart"/>
      <w:r w:rsidRPr="00FA15A1">
        <w:rPr>
          <w:color w:val="3B3838" w:themeColor="background2" w:themeShade="40"/>
        </w:rPr>
        <w:t>doivent</w:t>
      </w:r>
      <w:proofErr w:type="gramEnd"/>
      <w:r w:rsidRPr="00FA15A1">
        <w:rPr>
          <w:color w:val="3B3838" w:themeColor="background2" w:themeShade="40"/>
        </w:rPr>
        <w:t xml:space="preserve"> être habilités à diriger des recherches</w:t>
      </w:r>
      <w:r w:rsidR="00CD7913" w:rsidRPr="00FA15A1">
        <w:rPr>
          <w:color w:val="3B3838" w:themeColor="background2" w:themeShade="40"/>
        </w:rPr>
        <w:t>,</w:t>
      </w:r>
      <w:r w:rsidRPr="00FA15A1">
        <w:rPr>
          <w:color w:val="3B3838" w:themeColor="background2" w:themeShade="40"/>
        </w:rPr>
        <w:t xml:space="preserve"> </w:t>
      </w:r>
      <w:r w:rsidR="008560D3">
        <w:rPr>
          <w:color w:val="3B3838" w:themeColor="background2" w:themeShade="40"/>
        </w:rPr>
        <w:t>ou d’un niveau équivalent</w:t>
      </w:r>
    </w:p>
    <w:p w14:paraId="18B470F5" w14:textId="5A7C4BF0" w:rsidR="00BB3468" w:rsidRPr="00FA15A1" w:rsidRDefault="00BB3468" w:rsidP="00BB3468">
      <w:pPr>
        <w:pStyle w:val="Paragraphedeliste"/>
        <w:numPr>
          <w:ilvl w:val="0"/>
          <w:numId w:val="19"/>
        </w:numPr>
        <w:spacing w:after="0" w:line="240" w:lineRule="auto"/>
        <w:jc w:val="both"/>
        <w:rPr>
          <w:color w:val="3B3838" w:themeColor="background2" w:themeShade="40"/>
        </w:rPr>
      </w:pPr>
      <w:proofErr w:type="gramStart"/>
      <w:r w:rsidRPr="00FA15A1">
        <w:rPr>
          <w:color w:val="3B3838" w:themeColor="background2" w:themeShade="40"/>
        </w:rPr>
        <w:t>doivent</w:t>
      </w:r>
      <w:proofErr w:type="gramEnd"/>
      <w:r w:rsidRPr="00FA15A1">
        <w:rPr>
          <w:color w:val="3B3838" w:themeColor="background2" w:themeShade="40"/>
        </w:rPr>
        <w:t xml:space="preserve"> être extérieurs à l’établissement</w:t>
      </w:r>
      <w:r w:rsidR="00CD7913" w:rsidRPr="00FA15A1">
        <w:rPr>
          <w:color w:val="3B3838" w:themeColor="background2" w:themeShade="40"/>
        </w:rPr>
        <w:t>,</w:t>
      </w:r>
      <w:r w:rsidRPr="00FA15A1">
        <w:rPr>
          <w:color w:val="3B3838" w:themeColor="background2" w:themeShade="40"/>
        </w:rPr>
        <w:t xml:space="preserve"> </w:t>
      </w:r>
    </w:p>
    <w:p w14:paraId="5D5E38F9" w14:textId="7DE08308" w:rsidR="00BB3468" w:rsidRPr="00FA15A1" w:rsidRDefault="00BB3468" w:rsidP="00BB3468">
      <w:pPr>
        <w:pStyle w:val="Paragraphedeliste"/>
        <w:numPr>
          <w:ilvl w:val="0"/>
          <w:numId w:val="19"/>
        </w:numPr>
        <w:spacing w:after="0" w:line="240" w:lineRule="auto"/>
        <w:jc w:val="both"/>
        <w:rPr>
          <w:color w:val="3B3838" w:themeColor="background2" w:themeShade="40"/>
        </w:rPr>
      </w:pPr>
      <w:proofErr w:type="gramStart"/>
      <w:r w:rsidRPr="00FA15A1">
        <w:rPr>
          <w:color w:val="3B3838" w:themeColor="background2" w:themeShade="40"/>
        </w:rPr>
        <w:t>ne</w:t>
      </w:r>
      <w:proofErr w:type="gramEnd"/>
      <w:r w:rsidRPr="00FA15A1">
        <w:rPr>
          <w:color w:val="3B3838" w:themeColor="background2" w:themeShade="40"/>
        </w:rPr>
        <w:t xml:space="preserve"> doivent avoir eu aucune publication ou projet de recherche commun avec le candidat dans les 5 années précédant la demande.</w:t>
      </w:r>
    </w:p>
    <w:p w14:paraId="02BC9DB9" w14:textId="77777777" w:rsidR="00BB3468" w:rsidRPr="00FA15A1" w:rsidRDefault="00BB3468" w:rsidP="00BB3468">
      <w:pPr>
        <w:pStyle w:val="Paragraphedeliste"/>
        <w:spacing w:after="0" w:line="240" w:lineRule="auto"/>
        <w:ind w:left="1335"/>
        <w:jc w:val="both"/>
        <w:rPr>
          <w:color w:val="3B3838" w:themeColor="background2" w:themeShade="40"/>
        </w:rPr>
      </w:pPr>
    </w:p>
    <w:p w14:paraId="18FB7FF3" w14:textId="67E04D52" w:rsidR="00BB3468" w:rsidRPr="00FF7688" w:rsidRDefault="00EF166C" w:rsidP="00BB3468">
      <w:pPr>
        <w:spacing w:after="0" w:line="240" w:lineRule="auto"/>
        <w:ind w:left="567"/>
        <w:jc w:val="both"/>
        <w:rPr>
          <w:color w:val="3B3838" w:themeColor="background2" w:themeShade="40"/>
        </w:rPr>
      </w:pPr>
      <w:proofErr w:type="gramStart"/>
      <w:r w:rsidRPr="00FA15A1">
        <w:rPr>
          <w:color w:val="3B3838" w:themeColor="background2" w:themeShade="40"/>
        </w:rPr>
        <w:t>Dans  la</w:t>
      </w:r>
      <w:proofErr w:type="gramEnd"/>
      <w:r w:rsidRPr="00FA15A1">
        <w:rPr>
          <w:color w:val="3B3838" w:themeColor="background2" w:themeShade="40"/>
        </w:rPr>
        <w:t xml:space="preserve"> </w:t>
      </w:r>
      <w:r w:rsidR="00BB3468" w:rsidRPr="00FA15A1">
        <w:rPr>
          <w:color w:val="3B3838" w:themeColor="background2" w:themeShade="40"/>
        </w:rPr>
        <w:t>liste</w:t>
      </w:r>
      <w:r w:rsidRPr="00FA15A1">
        <w:rPr>
          <w:color w:val="3B3838" w:themeColor="background2" w:themeShade="40"/>
        </w:rPr>
        <w:t xml:space="preserve"> proposée</w:t>
      </w:r>
      <w:r w:rsidR="00BB3468" w:rsidRPr="00FA15A1">
        <w:rPr>
          <w:color w:val="3B3838" w:themeColor="background2" w:themeShade="40"/>
        </w:rPr>
        <w:t xml:space="preserve">, </w:t>
      </w:r>
      <w:r w:rsidR="00CD7913" w:rsidRPr="00FA15A1">
        <w:rPr>
          <w:color w:val="3B3838" w:themeColor="background2" w:themeShade="40"/>
        </w:rPr>
        <w:t xml:space="preserve">la </w:t>
      </w:r>
      <w:r w:rsidR="00BB3468" w:rsidRPr="00FA15A1">
        <w:rPr>
          <w:color w:val="3B3838" w:themeColor="background2" w:themeShade="40"/>
        </w:rPr>
        <w:t>Vice-</w:t>
      </w:r>
      <w:r w:rsidR="00CD7913" w:rsidRPr="00FA15A1">
        <w:rPr>
          <w:color w:val="3B3838" w:themeColor="background2" w:themeShade="40"/>
        </w:rPr>
        <w:t xml:space="preserve">présidence </w:t>
      </w:r>
      <w:r w:rsidR="00BB3468" w:rsidRPr="00FA15A1">
        <w:rPr>
          <w:color w:val="3B3838" w:themeColor="background2" w:themeShade="40"/>
        </w:rPr>
        <w:t>Recherche</w:t>
      </w:r>
      <w:r w:rsidR="00BB3468" w:rsidRPr="00FA15A1">
        <w:rPr>
          <w:i/>
          <w:color w:val="3B3838" w:themeColor="background2" w:themeShade="40"/>
        </w:rPr>
        <w:t xml:space="preserve"> </w:t>
      </w:r>
      <w:r w:rsidR="00BB3468" w:rsidRPr="00FA15A1">
        <w:rPr>
          <w:color w:val="3B3838" w:themeColor="background2" w:themeShade="40"/>
        </w:rPr>
        <w:t xml:space="preserve">de l’université désigne trois rapporteurs </w:t>
      </w:r>
      <w:r w:rsidR="002E252C" w:rsidRPr="00FA15A1">
        <w:rPr>
          <w:color w:val="3B3838" w:themeColor="background2" w:themeShade="40"/>
        </w:rPr>
        <w:t>qui devraient participer au jury de soutenance.</w:t>
      </w:r>
      <w:r w:rsidR="00BB3468" w:rsidRPr="00FA15A1">
        <w:rPr>
          <w:color w:val="3B3838" w:themeColor="background2" w:themeShade="40"/>
        </w:rPr>
        <w:t xml:space="preserve"> Les </w:t>
      </w:r>
      <w:r w:rsidRPr="00FA15A1">
        <w:rPr>
          <w:color w:val="3B3838" w:themeColor="background2" w:themeShade="40"/>
        </w:rPr>
        <w:t xml:space="preserve">autres </w:t>
      </w:r>
      <w:r w:rsidR="00BB3468" w:rsidRPr="00FA15A1">
        <w:rPr>
          <w:color w:val="3B3838" w:themeColor="background2" w:themeShade="40"/>
        </w:rPr>
        <w:t xml:space="preserve">membres </w:t>
      </w:r>
      <w:r w:rsidR="002E252C" w:rsidRPr="00FA15A1">
        <w:rPr>
          <w:color w:val="3B3838" w:themeColor="background2" w:themeShade="40"/>
        </w:rPr>
        <w:t xml:space="preserve">non retenus comme rapporteurs </w:t>
      </w:r>
      <w:r w:rsidR="00BB3468" w:rsidRPr="00FA15A1">
        <w:rPr>
          <w:color w:val="3B3838" w:themeColor="background2" w:themeShade="40"/>
        </w:rPr>
        <w:t>peuvent faire partie du jury final de l’HDR.</w:t>
      </w:r>
    </w:p>
    <w:p w14:paraId="03685A89" w14:textId="77777777" w:rsidR="00BB3468" w:rsidRPr="00FF7688" w:rsidRDefault="00BB3468" w:rsidP="00BB3468">
      <w:pPr>
        <w:spacing w:after="0" w:line="240" w:lineRule="auto"/>
        <w:ind w:left="567"/>
        <w:jc w:val="both"/>
        <w:rPr>
          <w:color w:val="3B3838" w:themeColor="background2" w:themeShade="40"/>
          <w:highlight w:val="yellow"/>
        </w:rPr>
      </w:pPr>
    </w:p>
    <w:p w14:paraId="5565E84D" w14:textId="77777777"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Après décision de la Vice-Présidence, le SRV informe le candidat sous 10 jours du nom des rapporteurs désignés. En cas d’accord, le candidat doit faire parvenir son manuscrit aux rapporteurs.</w:t>
      </w:r>
    </w:p>
    <w:p w14:paraId="418DA418" w14:textId="77777777" w:rsidR="00BB3468" w:rsidRPr="00FF7688" w:rsidRDefault="00BB3468" w:rsidP="00BB3468">
      <w:pPr>
        <w:spacing w:after="0" w:line="240" w:lineRule="auto"/>
        <w:ind w:left="567"/>
        <w:jc w:val="both"/>
        <w:rPr>
          <w:color w:val="3B3838" w:themeColor="background2" w:themeShade="40"/>
        </w:rPr>
      </w:pPr>
    </w:p>
    <w:p w14:paraId="71DD098D" w14:textId="111FF093"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Dans le même temps, le SRV informe les trois rapporteurs de leur désignation ainsi que</w:t>
      </w:r>
      <w:r w:rsidR="002732C6">
        <w:rPr>
          <w:color w:val="3B3838" w:themeColor="background2" w:themeShade="40"/>
        </w:rPr>
        <w:t xml:space="preserve"> de</w:t>
      </w:r>
      <w:r w:rsidRPr="00FF7688">
        <w:rPr>
          <w:color w:val="3B3838" w:themeColor="background2" w:themeShade="40"/>
        </w:rPr>
        <w:t xml:space="preserve"> la date de retour des rapports auprès du SRV. </w:t>
      </w:r>
      <w:r w:rsidR="002E252C" w:rsidRPr="00FF7688">
        <w:rPr>
          <w:color w:val="3B3838" w:themeColor="background2" w:themeShade="40"/>
        </w:rPr>
        <w:t>L</w:t>
      </w:r>
      <w:r w:rsidR="002E252C">
        <w:rPr>
          <w:color w:val="3B3838" w:themeColor="background2" w:themeShade="40"/>
        </w:rPr>
        <w:t>a</w:t>
      </w:r>
      <w:r w:rsidR="002E252C" w:rsidRPr="00FF7688">
        <w:rPr>
          <w:color w:val="3B3838" w:themeColor="background2" w:themeShade="40"/>
        </w:rPr>
        <w:t xml:space="preserve"> </w:t>
      </w:r>
      <w:r w:rsidRPr="00FF7688">
        <w:rPr>
          <w:color w:val="3B3838" w:themeColor="background2" w:themeShade="40"/>
        </w:rPr>
        <w:t>Vice-présiden</w:t>
      </w:r>
      <w:r w:rsidR="002E252C">
        <w:rPr>
          <w:color w:val="3B3838" w:themeColor="background2" w:themeShade="40"/>
        </w:rPr>
        <w:t>ce</w:t>
      </w:r>
      <w:r w:rsidR="00965347">
        <w:rPr>
          <w:color w:val="3B3838" w:themeColor="background2" w:themeShade="40"/>
        </w:rPr>
        <w:t xml:space="preserve"> Recherche</w:t>
      </w:r>
      <w:r w:rsidRPr="00FF7688">
        <w:rPr>
          <w:color w:val="3B3838" w:themeColor="background2" w:themeShade="40"/>
        </w:rPr>
        <w:t xml:space="preserve"> doit avoir connaissance des rapports au moins 4 semaines avant la soutenance. Les originaux devront obligatoirement être fournis avant la date de soutenance.</w:t>
      </w:r>
    </w:p>
    <w:p w14:paraId="47C46873" w14:textId="77777777" w:rsidR="00BB3468" w:rsidRPr="00FF7688" w:rsidRDefault="00BB3468" w:rsidP="00BB3468">
      <w:pPr>
        <w:spacing w:after="0" w:line="240" w:lineRule="auto"/>
        <w:ind w:left="567"/>
        <w:jc w:val="both"/>
        <w:rPr>
          <w:color w:val="3B3838" w:themeColor="background2" w:themeShade="40"/>
        </w:rPr>
      </w:pPr>
    </w:p>
    <w:p w14:paraId="54E7D1ED" w14:textId="6D7A2CDF" w:rsidR="00BB3468" w:rsidRDefault="00BB3468" w:rsidP="00BB3468">
      <w:pPr>
        <w:spacing w:after="0" w:line="240" w:lineRule="auto"/>
        <w:ind w:left="567"/>
        <w:jc w:val="both"/>
        <w:rPr>
          <w:color w:val="3B3838" w:themeColor="background2" w:themeShade="40"/>
        </w:rPr>
      </w:pPr>
      <w:r w:rsidRPr="00FF7688">
        <w:rPr>
          <w:color w:val="3B3838" w:themeColor="background2" w:themeShade="40"/>
        </w:rPr>
        <w:t xml:space="preserve">Les </w:t>
      </w:r>
      <w:r w:rsidR="00466E50">
        <w:rPr>
          <w:color w:val="3B3838" w:themeColor="background2" w:themeShade="40"/>
        </w:rPr>
        <w:t>rapporteurs</w:t>
      </w:r>
      <w:r w:rsidRPr="00FF7688">
        <w:rPr>
          <w:color w:val="3B3838" w:themeColor="background2" w:themeShade="40"/>
        </w:rPr>
        <w:t xml:space="preserve"> font connaître leur avis par des rapports écrits et motivés, sur la base desquels peut être autorisée la présentation orale des travaux du candidat devant le jury.</w:t>
      </w:r>
    </w:p>
    <w:p w14:paraId="03185C6E" w14:textId="77777777" w:rsidR="00794A52" w:rsidRPr="00FF7688" w:rsidRDefault="00794A52" w:rsidP="00BB3468">
      <w:pPr>
        <w:spacing w:after="0" w:line="240" w:lineRule="auto"/>
        <w:ind w:left="567"/>
        <w:jc w:val="both"/>
        <w:rPr>
          <w:color w:val="3B3838" w:themeColor="background2" w:themeShade="40"/>
        </w:rPr>
      </w:pPr>
    </w:p>
    <w:p w14:paraId="5C6D5C3E" w14:textId="74D78768" w:rsidR="00BB3468" w:rsidRPr="00FF7688" w:rsidRDefault="00D55FC5" w:rsidP="00BB3468">
      <w:pPr>
        <w:spacing w:after="0" w:line="240" w:lineRule="auto"/>
        <w:ind w:left="567"/>
        <w:jc w:val="both"/>
        <w:rPr>
          <w:color w:val="3B3838" w:themeColor="background2" w:themeShade="40"/>
        </w:rPr>
      </w:pPr>
      <w:r>
        <w:rPr>
          <w:color w:val="3B3838" w:themeColor="background2" w:themeShade="40"/>
        </w:rPr>
        <w:t>Après</w:t>
      </w:r>
      <w:r w:rsidR="00BB3468" w:rsidRPr="00FF7688">
        <w:rPr>
          <w:color w:val="3B3838" w:themeColor="background2" w:themeShade="40"/>
        </w:rPr>
        <w:t xml:space="preserve"> retour des rapports auprès du SRV, </w:t>
      </w:r>
      <w:r w:rsidR="002E252C" w:rsidRPr="00FF7688">
        <w:rPr>
          <w:color w:val="3B3838" w:themeColor="background2" w:themeShade="40"/>
        </w:rPr>
        <w:t>l</w:t>
      </w:r>
      <w:r w:rsidR="002E252C">
        <w:rPr>
          <w:color w:val="3B3838" w:themeColor="background2" w:themeShade="40"/>
        </w:rPr>
        <w:t>a</w:t>
      </w:r>
      <w:r w:rsidR="002E252C" w:rsidRPr="00FF7688">
        <w:rPr>
          <w:color w:val="3B3838" w:themeColor="background2" w:themeShade="40"/>
        </w:rPr>
        <w:t xml:space="preserve"> </w:t>
      </w:r>
      <w:r w:rsidR="00BB3468" w:rsidRPr="00FF7688">
        <w:rPr>
          <w:color w:val="3B3838" w:themeColor="background2" w:themeShade="40"/>
        </w:rPr>
        <w:t>Vice-</w:t>
      </w:r>
      <w:r w:rsidR="002E252C" w:rsidRPr="00FF7688">
        <w:rPr>
          <w:color w:val="3B3838" w:themeColor="background2" w:themeShade="40"/>
        </w:rPr>
        <w:t>présiden</w:t>
      </w:r>
      <w:r w:rsidR="002E252C">
        <w:rPr>
          <w:color w:val="3B3838" w:themeColor="background2" w:themeShade="40"/>
        </w:rPr>
        <w:t>ce</w:t>
      </w:r>
      <w:r w:rsidR="00965347">
        <w:rPr>
          <w:color w:val="3B3838" w:themeColor="background2" w:themeShade="40"/>
        </w:rPr>
        <w:t xml:space="preserve"> Recherche</w:t>
      </w:r>
      <w:r>
        <w:rPr>
          <w:color w:val="3B3838" w:themeColor="background2" w:themeShade="40"/>
        </w:rPr>
        <w:t xml:space="preserve"> examine ces derniers et</w:t>
      </w:r>
      <w:r w:rsidR="00BB3468" w:rsidRPr="00FF7688">
        <w:rPr>
          <w:color w:val="3B3838" w:themeColor="background2" w:themeShade="40"/>
        </w:rPr>
        <w:t xml:space="preserve"> donnent l’autorisation </w:t>
      </w:r>
      <w:r>
        <w:rPr>
          <w:color w:val="3B3838" w:themeColor="background2" w:themeShade="40"/>
        </w:rPr>
        <w:t>a</w:t>
      </w:r>
      <w:r w:rsidRPr="00FF7688">
        <w:rPr>
          <w:color w:val="3B3838" w:themeColor="background2" w:themeShade="40"/>
        </w:rPr>
        <w:t xml:space="preserve">u </w:t>
      </w:r>
      <w:r w:rsidR="00BB3468" w:rsidRPr="00FF7688">
        <w:rPr>
          <w:color w:val="3B3838" w:themeColor="background2" w:themeShade="40"/>
        </w:rPr>
        <w:t>candidat à se présenter devant le jury de soutenance.</w:t>
      </w:r>
    </w:p>
    <w:p w14:paraId="6A78ACFC" w14:textId="77777777" w:rsidR="00BB3468" w:rsidRPr="00FF7688" w:rsidRDefault="00BB3468" w:rsidP="00BB3468">
      <w:pPr>
        <w:spacing w:after="0" w:line="240" w:lineRule="auto"/>
        <w:ind w:left="567"/>
        <w:jc w:val="both"/>
        <w:rPr>
          <w:color w:val="3B3838" w:themeColor="background2" w:themeShade="40"/>
        </w:rPr>
      </w:pPr>
    </w:p>
    <w:p w14:paraId="3291200E" w14:textId="20CADDE2" w:rsidR="00BB3468" w:rsidRPr="00FF7688" w:rsidRDefault="00BB3468" w:rsidP="00BB3468">
      <w:pPr>
        <w:spacing w:after="0" w:line="240" w:lineRule="auto"/>
        <w:ind w:left="567"/>
        <w:jc w:val="both"/>
        <w:rPr>
          <w:color w:val="3B3838" w:themeColor="background2" w:themeShade="40"/>
          <w:sz w:val="24"/>
          <w:szCs w:val="24"/>
        </w:rPr>
      </w:pPr>
      <w:r w:rsidRPr="00FF7688">
        <w:rPr>
          <w:color w:val="3B3838" w:themeColor="background2" w:themeShade="40"/>
        </w:rPr>
        <w:t>En cas de décision favorable à soutenir, les rapports sont communiqués au candidat</w:t>
      </w:r>
      <w:r w:rsidRPr="00FF7688">
        <w:rPr>
          <w:color w:val="3B3838" w:themeColor="background2" w:themeShade="40"/>
          <w:sz w:val="24"/>
          <w:szCs w:val="24"/>
        </w:rPr>
        <w:t>.</w:t>
      </w:r>
    </w:p>
    <w:p w14:paraId="322EB797" w14:textId="77777777" w:rsidR="00BB3468" w:rsidRPr="00FF7688" w:rsidRDefault="00BB3468">
      <w:pPr>
        <w:spacing w:after="0" w:line="240" w:lineRule="auto"/>
        <w:rPr>
          <w:color w:val="3B3838" w:themeColor="background2" w:themeShade="40"/>
          <w:sz w:val="24"/>
          <w:szCs w:val="24"/>
        </w:rPr>
      </w:pPr>
    </w:p>
    <w:p w14:paraId="5FD762DF" w14:textId="77777777" w:rsidR="00BB3468" w:rsidRPr="00FF7688" w:rsidRDefault="00BB3468" w:rsidP="00BB3468">
      <w:pPr>
        <w:pStyle w:val="Paragraphedeliste"/>
        <w:numPr>
          <w:ilvl w:val="0"/>
          <w:numId w:val="18"/>
        </w:numPr>
        <w:ind w:left="567" w:hanging="567"/>
        <w:jc w:val="both"/>
        <w:rPr>
          <w:b/>
          <w:color w:val="3B3838" w:themeColor="background2" w:themeShade="40"/>
          <w:sz w:val="24"/>
          <w:szCs w:val="24"/>
        </w:rPr>
      </w:pPr>
      <w:r w:rsidRPr="00FF7688">
        <w:rPr>
          <w:b/>
          <w:color w:val="3B3838" w:themeColor="background2" w:themeShade="40"/>
          <w:sz w:val="24"/>
          <w:szCs w:val="24"/>
        </w:rPr>
        <w:t>Désignation et convocation du jury</w:t>
      </w:r>
    </w:p>
    <w:p w14:paraId="64F8F494" w14:textId="56DA8386" w:rsidR="00BB3468" w:rsidRPr="00FF7688" w:rsidRDefault="00BB3468" w:rsidP="00BB3468">
      <w:pPr>
        <w:ind w:left="567"/>
        <w:jc w:val="both"/>
        <w:rPr>
          <w:color w:val="3B3838" w:themeColor="background2" w:themeShade="40"/>
        </w:rPr>
      </w:pPr>
      <w:r w:rsidRPr="00FF7688">
        <w:rPr>
          <w:color w:val="3B3838" w:themeColor="background2" w:themeShade="40"/>
        </w:rPr>
        <w:t xml:space="preserve">Le jury est nommé par le président de l'établissement sur proposition du candidat. </w:t>
      </w:r>
    </w:p>
    <w:p w14:paraId="3DCBBD5D" w14:textId="77777777" w:rsidR="00BB3468" w:rsidRPr="00FF7688" w:rsidRDefault="00BB3468" w:rsidP="00BB3468">
      <w:pPr>
        <w:ind w:left="567"/>
        <w:jc w:val="both"/>
        <w:rPr>
          <w:color w:val="3B3838" w:themeColor="background2" w:themeShade="40"/>
        </w:rPr>
      </w:pPr>
      <w:r w:rsidRPr="00FA15A1">
        <w:rPr>
          <w:color w:val="3B3838" w:themeColor="background2" w:themeShade="40"/>
        </w:rPr>
        <w:t>Le candidat propose cinq membres du jury (annexe C) :</w:t>
      </w:r>
      <w:r w:rsidRPr="00FF7688">
        <w:rPr>
          <w:color w:val="3B3838" w:themeColor="background2" w:themeShade="40"/>
        </w:rPr>
        <w:t xml:space="preserve"> </w:t>
      </w:r>
    </w:p>
    <w:p w14:paraId="4C2C6C54" w14:textId="02E4C7C6" w:rsidR="00BB3468" w:rsidRPr="00FF7688" w:rsidRDefault="00BB3468" w:rsidP="00BB3468">
      <w:pPr>
        <w:pStyle w:val="Paragraphedeliste"/>
        <w:numPr>
          <w:ilvl w:val="0"/>
          <w:numId w:val="20"/>
        </w:numPr>
        <w:ind w:left="1276" w:hanging="425"/>
        <w:jc w:val="both"/>
        <w:rPr>
          <w:color w:val="3B3838" w:themeColor="background2" w:themeShade="40"/>
        </w:rPr>
      </w:pPr>
      <w:r w:rsidRPr="00FF7688">
        <w:rPr>
          <w:color w:val="3B3838" w:themeColor="background2" w:themeShade="40"/>
        </w:rPr>
        <w:t xml:space="preserve">Ils sont choisis parmi les personnels enseignants habilités à diriger des recherches </w:t>
      </w:r>
      <w:r w:rsidR="00D55FC5">
        <w:rPr>
          <w:color w:val="3B3838" w:themeColor="background2" w:themeShade="40"/>
        </w:rPr>
        <w:t xml:space="preserve">ou de niveau équivalent </w:t>
      </w:r>
      <w:r w:rsidRPr="00FF7688">
        <w:rPr>
          <w:color w:val="3B3838" w:themeColor="background2" w:themeShade="40"/>
        </w:rPr>
        <w:t xml:space="preserve">des établissements d'enseignement supérieur public, les </w:t>
      </w:r>
      <w:r w:rsidR="005C180B">
        <w:rPr>
          <w:color w:val="3B3838" w:themeColor="background2" w:themeShade="40"/>
        </w:rPr>
        <w:t xml:space="preserve">chercheurs </w:t>
      </w:r>
      <w:r w:rsidR="008D2A67">
        <w:rPr>
          <w:color w:val="3B3838" w:themeColor="background2" w:themeShade="40"/>
        </w:rPr>
        <w:t>des organismes</w:t>
      </w:r>
      <w:r w:rsidRPr="00FF7688">
        <w:rPr>
          <w:color w:val="3B3838" w:themeColor="background2" w:themeShade="40"/>
        </w:rPr>
        <w:t xml:space="preserve"> de recherche </w:t>
      </w:r>
      <w:r w:rsidR="008D2A67">
        <w:rPr>
          <w:color w:val="3B3838" w:themeColor="background2" w:themeShade="40"/>
        </w:rPr>
        <w:t>et</w:t>
      </w:r>
      <w:r w:rsidR="008D2A67" w:rsidRPr="00FF7688">
        <w:rPr>
          <w:color w:val="3B3838" w:themeColor="background2" w:themeShade="40"/>
        </w:rPr>
        <w:t xml:space="preserve"> </w:t>
      </w:r>
      <w:r w:rsidRPr="00FF7688">
        <w:rPr>
          <w:color w:val="3B3838" w:themeColor="background2" w:themeShade="40"/>
        </w:rPr>
        <w:t>établissements à caractère scientifique et technologique.</w:t>
      </w:r>
    </w:p>
    <w:p w14:paraId="5F44C0A9" w14:textId="7CB4CF6B" w:rsidR="00BB3468" w:rsidRPr="00FA15A1" w:rsidRDefault="00BB3468" w:rsidP="00BB3468">
      <w:pPr>
        <w:pStyle w:val="Paragraphedeliste"/>
        <w:numPr>
          <w:ilvl w:val="0"/>
          <w:numId w:val="20"/>
        </w:numPr>
        <w:ind w:left="1276" w:hanging="425"/>
        <w:jc w:val="both"/>
        <w:rPr>
          <w:color w:val="3B3838" w:themeColor="background2" w:themeShade="40"/>
        </w:rPr>
      </w:pPr>
      <w:r w:rsidRPr="00FA15A1">
        <w:rPr>
          <w:color w:val="3B3838" w:themeColor="background2" w:themeShade="40"/>
        </w:rPr>
        <w:t xml:space="preserve">Au moins 3 </w:t>
      </w:r>
      <w:bookmarkStart w:id="0" w:name="_Hlk105491673"/>
      <w:r w:rsidRPr="00FA15A1">
        <w:rPr>
          <w:color w:val="3B3838" w:themeColor="background2" w:themeShade="40"/>
        </w:rPr>
        <w:t>sont des personnalités françaises ou étrangères extérieures à l'établissement et reconnues en raison de leur compétence scientifique</w:t>
      </w:r>
      <w:bookmarkEnd w:id="0"/>
      <w:r w:rsidR="004A43CA">
        <w:rPr>
          <w:color w:val="3B3838" w:themeColor="background2" w:themeShade="40"/>
        </w:rPr>
        <w:t>.</w:t>
      </w:r>
    </w:p>
    <w:p w14:paraId="6B9FEDAE" w14:textId="19D256CD" w:rsidR="00BB3468" w:rsidRPr="00FA15A1" w:rsidRDefault="00BB3468" w:rsidP="00BB3468">
      <w:pPr>
        <w:pStyle w:val="Paragraphedeliste"/>
        <w:numPr>
          <w:ilvl w:val="0"/>
          <w:numId w:val="20"/>
        </w:numPr>
        <w:spacing w:after="0" w:line="240" w:lineRule="auto"/>
        <w:ind w:left="1276" w:hanging="425"/>
        <w:jc w:val="both"/>
        <w:rPr>
          <w:color w:val="3B3838" w:themeColor="background2" w:themeShade="40"/>
        </w:rPr>
      </w:pPr>
      <w:bookmarkStart w:id="1" w:name="_Hlk105491554"/>
      <w:r w:rsidRPr="00FA15A1">
        <w:rPr>
          <w:color w:val="3B3838" w:themeColor="background2" w:themeShade="40"/>
        </w:rPr>
        <w:t xml:space="preserve">3 sont des </w:t>
      </w:r>
      <w:bookmarkStart w:id="2" w:name="_Hlk106364974"/>
      <w:r w:rsidRPr="00FA15A1">
        <w:rPr>
          <w:color w:val="3B3838" w:themeColor="background2" w:themeShade="40"/>
        </w:rPr>
        <w:t xml:space="preserve">professeurs ou assimilés au sens de l'article 1er de l'arrêté du 19 février 1987 </w:t>
      </w:r>
      <w:bookmarkEnd w:id="2"/>
      <w:r w:rsidRPr="00FA15A1">
        <w:rPr>
          <w:color w:val="3B3838" w:themeColor="background2" w:themeShade="40"/>
        </w:rPr>
        <w:t>[fixant la liste des corps de fonctionnaires assimilés aux professeurs</w:t>
      </w:r>
      <w:r w:rsidRPr="00FA15A1">
        <w:rPr>
          <w:color w:val="3B3838" w:themeColor="background2" w:themeShade="40"/>
          <w:sz w:val="24"/>
          <w:szCs w:val="24"/>
        </w:rPr>
        <w:t xml:space="preserve"> des universités] </w:t>
      </w:r>
      <w:r w:rsidRPr="00FA15A1">
        <w:rPr>
          <w:color w:val="3B3838" w:themeColor="background2" w:themeShade="40"/>
        </w:rPr>
        <w:t>dont 1 doit appartenir à l’Université de Perpignan</w:t>
      </w:r>
      <w:r w:rsidR="00D374E8" w:rsidRPr="00FA15A1">
        <w:rPr>
          <w:color w:val="3B3838" w:themeColor="background2" w:themeShade="40"/>
        </w:rPr>
        <w:t xml:space="preserve"> Via </w:t>
      </w:r>
      <w:proofErr w:type="spellStart"/>
      <w:r w:rsidR="00D374E8" w:rsidRPr="00FA15A1">
        <w:rPr>
          <w:color w:val="3B3838" w:themeColor="background2" w:themeShade="40"/>
        </w:rPr>
        <w:t>Domitia</w:t>
      </w:r>
      <w:proofErr w:type="spellEnd"/>
      <w:r w:rsidRPr="00FA15A1">
        <w:rPr>
          <w:color w:val="3B3838" w:themeColor="background2" w:themeShade="40"/>
        </w:rPr>
        <w:t>.</w:t>
      </w:r>
    </w:p>
    <w:bookmarkEnd w:id="1"/>
    <w:p w14:paraId="345713A6" w14:textId="77777777" w:rsidR="00474446" w:rsidRDefault="00474446" w:rsidP="00BB3468">
      <w:pPr>
        <w:spacing w:after="0" w:line="240" w:lineRule="auto"/>
        <w:ind w:left="567"/>
        <w:jc w:val="both"/>
        <w:rPr>
          <w:color w:val="3B3838" w:themeColor="background2" w:themeShade="40"/>
        </w:rPr>
      </w:pPr>
    </w:p>
    <w:p w14:paraId="29F59854" w14:textId="3158BCFD"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Le jury ne peut pas comprendre plus de la moitié d'émérite</w:t>
      </w:r>
      <w:r w:rsidR="008C529A">
        <w:rPr>
          <w:color w:val="3B3838" w:themeColor="background2" w:themeShade="40"/>
        </w:rPr>
        <w:t>s</w:t>
      </w:r>
      <w:r w:rsidRPr="00FF7688">
        <w:rPr>
          <w:color w:val="3B3838" w:themeColor="background2" w:themeShade="40"/>
        </w:rPr>
        <w:t xml:space="preserve">. Un émérite ne peut pas être président mais il peut être rapporteur. </w:t>
      </w:r>
    </w:p>
    <w:p w14:paraId="4DE19F10" w14:textId="77777777" w:rsidR="00BB3468" w:rsidRPr="00FF7688" w:rsidRDefault="00BB3468" w:rsidP="00BB3468">
      <w:pPr>
        <w:spacing w:after="0" w:line="240" w:lineRule="auto"/>
        <w:ind w:left="567"/>
        <w:jc w:val="both"/>
        <w:rPr>
          <w:color w:val="3B3838" w:themeColor="background2" w:themeShade="40"/>
        </w:rPr>
      </w:pPr>
    </w:p>
    <w:p w14:paraId="63A00CC4" w14:textId="625C8ADC"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 xml:space="preserve">Après autorisation du candidat à se présenter devant le jury et accord </w:t>
      </w:r>
      <w:r w:rsidR="008D2A67" w:rsidRPr="00FF7688">
        <w:rPr>
          <w:color w:val="3B3838" w:themeColor="background2" w:themeShade="40"/>
        </w:rPr>
        <w:t>d</w:t>
      </w:r>
      <w:r w:rsidR="008D2A67">
        <w:rPr>
          <w:color w:val="3B3838" w:themeColor="background2" w:themeShade="40"/>
        </w:rPr>
        <w:t>e la</w:t>
      </w:r>
      <w:r w:rsidR="008D2A67" w:rsidRPr="00FF7688">
        <w:rPr>
          <w:color w:val="3B3838" w:themeColor="background2" w:themeShade="40"/>
        </w:rPr>
        <w:t xml:space="preserve"> </w:t>
      </w:r>
      <w:r w:rsidR="00965347">
        <w:rPr>
          <w:color w:val="3B3838" w:themeColor="background2" w:themeShade="40"/>
        </w:rPr>
        <w:t>V</w:t>
      </w:r>
      <w:r w:rsidRPr="00FF7688">
        <w:rPr>
          <w:color w:val="3B3838" w:themeColor="background2" w:themeShade="40"/>
        </w:rPr>
        <w:t>ice-</w:t>
      </w:r>
      <w:r w:rsidR="008D2A67" w:rsidRPr="00FF7688">
        <w:rPr>
          <w:color w:val="3B3838" w:themeColor="background2" w:themeShade="40"/>
        </w:rPr>
        <w:t>présiden</w:t>
      </w:r>
      <w:r w:rsidR="008D2A67">
        <w:rPr>
          <w:color w:val="3B3838" w:themeColor="background2" w:themeShade="40"/>
        </w:rPr>
        <w:t>ce</w:t>
      </w:r>
      <w:r w:rsidR="008D2A67" w:rsidRPr="00FF7688">
        <w:rPr>
          <w:color w:val="3B3838" w:themeColor="background2" w:themeShade="40"/>
        </w:rPr>
        <w:t xml:space="preserve"> </w:t>
      </w:r>
      <w:r w:rsidRPr="00FF7688">
        <w:rPr>
          <w:color w:val="3B3838" w:themeColor="background2" w:themeShade="40"/>
        </w:rPr>
        <w:t>sur la composition de celui-ci, le SRV informe l’ensemble des membres du jury de leur désignation. Si pour une raison majeure</w:t>
      </w:r>
      <w:r w:rsidR="008C529A">
        <w:rPr>
          <w:color w:val="3B3838" w:themeColor="background2" w:themeShade="40"/>
        </w:rPr>
        <w:t>,</w:t>
      </w:r>
      <w:r w:rsidRPr="00FF7688">
        <w:rPr>
          <w:color w:val="3B3838" w:themeColor="background2" w:themeShade="40"/>
        </w:rPr>
        <w:t xml:space="preserve"> un membre extérieur du jury doit être absent, </w:t>
      </w:r>
      <w:r w:rsidR="008D2A67" w:rsidRPr="00FF7688">
        <w:rPr>
          <w:color w:val="3B3838" w:themeColor="background2" w:themeShade="40"/>
        </w:rPr>
        <w:t>l</w:t>
      </w:r>
      <w:r w:rsidR="008D2A67">
        <w:rPr>
          <w:color w:val="3B3838" w:themeColor="background2" w:themeShade="40"/>
        </w:rPr>
        <w:t>a</w:t>
      </w:r>
      <w:r w:rsidR="008D2A67" w:rsidRPr="00FF7688">
        <w:rPr>
          <w:color w:val="3B3838" w:themeColor="background2" w:themeShade="40"/>
        </w:rPr>
        <w:t xml:space="preserve"> </w:t>
      </w:r>
      <w:r w:rsidRPr="00FF7688">
        <w:rPr>
          <w:color w:val="3B3838" w:themeColor="background2" w:themeShade="40"/>
        </w:rPr>
        <w:t>Vice-</w:t>
      </w:r>
      <w:r w:rsidR="008D2A67" w:rsidRPr="00FF7688">
        <w:rPr>
          <w:color w:val="3B3838" w:themeColor="background2" w:themeShade="40"/>
        </w:rPr>
        <w:t>présiden</w:t>
      </w:r>
      <w:r w:rsidR="008D2A67">
        <w:rPr>
          <w:color w:val="3B3838" w:themeColor="background2" w:themeShade="40"/>
        </w:rPr>
        <w:t>ce</w:t>
      </w:r>
      <w:r w:rsidR="008D2A67" w:rsidRPr="00FF7688">
        <w:rPr>
          <w:color w:val="3B3838" w:themeColor="background2" w:themeShade="40"/>
        </w:rPr>
        <w:t xml:space="preserve"> </w:t>
      </w:r>
      <w:r w:rsidRPr="00FF7688">
        <w:rPr>
          <w:color w:val="3B3838" w:themeColor="background2" w:themeShade="40"/>
        </w:rPr>
        <w:t>Recherche ou le SRV doivent être informés afin de pouvoir maintenir la validité du jury.</w:t>
      </w:r>
    </w:p>
    <w:p w14:paraId="0E16A0E2" w14:textId="77777777" w:rsidR="00BB3468" w:rsidRPr="00FF7688" w:rsidRDefault="00BB3468" w:rsidP="00BB3468">
      <w:pPr>
        <w:spacing w:after="0" w:line="240" w:lineRule="auto"/>
        <w:ind w:left="567"/>
        <w:jc w:val="both"/>
        <w:rPr>
          <w:color w:val="3B3838" w:themeColor="background2" w:themeShade="40"/>
        </w:rPr>
      </w:pPr>
    </w:p>
    <w:p w14:paraId="1526C43D" w14:textId="035E7071"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L'avis de présentation des travaux est affiché dans l'enceinte de l'établissement</w:t>
      </w:r>
      <w:r w:rsidR="008C529A">
        <w:rPr>
          <w:color w:val="3B3838" w:themeColor="background2" w:themeShade="40"/>
        </w:rPr>
        <w:t xml:space="preserve"> et publié sur le site internet de </w:t>
      </w:r>
      <w:r w:rsidR="008C529A" w:rsidRPr="00FF7688">
        <w:rPr>
          <w:color w:val="3B3838" w:themeColor="background2" w:themeShade="40"/>
        </w:rPr>
        <w:t xml:space="preserve">l’Université de Perpignan Via </w:t>
      </w:r>
      <w:proofErr w:type="spellStart"/>
      <w:r w:rsidR="008C529A" w:rsidRPr="00FF7688">
        <w:rPr>
          <w:color w:val="3B3838" w:themeColor="background2" w:themeShade="40"/>
        </w:rPr>
        <w:t>Domitia</w:t>
      </w:r>
      <w:proofErr w:type="spellEnd"/>
      <w:r w:rsidRPr="00FF7688">
        <w:rPr>
          <w:color w:val="3B3838" w:themeColor="background2" w:themeShade="40"/>
        </w:rPr>
        <w:t>.</w:t>
      </w:r>
    </w:p>
    <w:p w14:paraId="7CE055FA" w14:textId="77777777" w:rsidR="00BB3468" w:rsidRPr="00FF7688" w:rsidRDefault="00BB3468" w:rsidP="008036EA">
      <w:pPr>
        <w:spacing w:after="0" w:line="240" w:lineRule="auto"/>
        <w:jc w:val="both"/>
        <w:rPr>
          <w:color w:val="3B3838" w:themeColor="background2" w:themeShade="40"/>
        </w:rPr>
      </w:pPr>
    </w:p>
    <w:p w14:paraId="454F4F68" w14:textId="77777777" w:rsidR="00BB3468" w:rsidRPr="00FF7688" w:rsidRDefault="00BB3468" w:rsidP="00BB3468">
      <w:pPr>
        <w:pStyle w:val="Paragraphedeliste"/>
        <w:numPr>
          <w:ilvl w:val="0"/>
          <w:numId w:val="18"/>
        </w:numPr>
        <w:ind w:left="567" w:hanging="567"/>
        <w:jc w:val="both"/>
        <w:rPr>
          <w:b/>
          <w:color w:val="3B3838" w:themeColor="background2" w:themeShade="40"/>
          <w:sz w:val="24"/>
          <w:szCs w:val="24"/>
        </w:rPr>
      </w:pPr>
      <w:r w:rsidRPr="00FF7688">
        <w:rPr>
          <w:b/>
          <w:color w:val="3B3838" w:themeColor="background2" w:themeShade="40"/>
          <w:sz w:val="24"/>
          <w:szCs w:val="24"/>
        </w:rPr>
        <w:t>Soutenance</w:t>
      </w:r>
    </w:p>
    <w:p w14:paraId="0EA61EBA" w14:textId="3E3B0D10"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La présentation des travaux est publique. Toutefois</w:t>
      </w:r>
      <w:r w:rsidR="008C529A">
        <w:rPr>
          <w:color w:val="3B3838" w:themeColor="background2" w:themeShade="40"/>
        </w:rPr>
        <w:t>,</w:t>
      </w:r>
      <w:r w:rsidRPr="00FF7688">
        <w:rPr>
          <w:color w:val="3B3838" w:themeColor="background2" w:themeShade="40"/>
        </w:rPr>
        <w:t xml:space="preserve"> si l'objet des travaux l'exige, le président de l'établissement peut prendre toute disposition utile pour en protéger le caractère confidentiel.</w:t>
      </w:r>
    </w:p>
    <w:p w14:paraId="15F58629" w14:textId="77777777" w:rsidR="00BB3468" w:rsidRPr="00FF7688" w:rsidRDefault="00BB3468" w:rsidP="00BB3468">
      <w:pPr>
        <w:spacing w:after="0" w:line="240" w:lineRule="auto"/>
        <w:ind w:left="567"/>
        <w:jc w:val="both"/>
        <w:rPr>
          <w:color w:val="3B3838" w:themeColor="background2" w:themeShade="40"/>
        </w:rPr>
      </w:pPr>
    </w:p>
    <w:p w14:paraId="07289C67" w14:textId="239F0E4B" w:rsidR="00BB3468" w:rsidRPr="00794A52" w:rsidRDefault="00BB3468" w:rsidP="00BB3468">
      <w:pPr>
        <w:spacing w:after="0" w:line="240" w:lineRule="auto"/>
        <w:ind w:left="567"/>
        <w:jc w:val="both"/>
        <w:rPr>
          <w:strike/>
          <w:color w:val="3B3838" w:themeColor="background2" w:themeShade="40"/>
        </w:rPr>
      </w:pPr>
      <w:r w:rsidRPr="00FF7688">
        <w:rPr>
          <w:color w:val="3B3838" w:themeColor="background2" w:themeShade="40"/>
        </w:rPr>
        <w:t>Le jury désigne en son sein un président</w:t>
      </w:r>
      <w:r w:rsidR="008D2A67">
        <w:rPr>
          <w:color w:val="3B3838" w:themeColor="background2" w:themeShade="40"/>
        </w:rPr>
        <w:t xml:space="preserve"> qui doit être un </w:t>
      </w:r>
      <w:r w:rsidR="008D2A67" w:rsidRPr="008D2A67">
        <w:rPr>
          <w:color w:val="3B3838" w:themeColor="background2" w:themeShade="40"/>
        </w:rPr>
        <w:t>professeur</w:t>
      </w:r>
      <w:r w:rsidR="008D2A67">
        <w:rPr>
          <w:color w:val="3B3838" w:themeColor="background2" w:themeShade="40"/>
        </w:rPr>
        <w:t xml:space="preserve"> </w:t>
      </w:r>
      <w:r w:rsidR="008D2A67" w:rsidRPr="008D2A67">
        <w:rPr>
          <w:color w:val="3B3838" w:themeColor="background2" w:themeShade="40"/>
        </w:rPr>
        <w:t>ou assimilé</w:t>
      </w:r>
      <w:r w:rsidR="008D2A67">
        <w:rPr>
          <w:color w:val="3B3838" w:themeColor="background2" w:themeShade="40"/>
        </w:rPr>
        <w:t xml:space="preserve"> </w:t>
      </w:r>
      <w:r w:rsidR="008D2A67" w:rsidRPr="008D2A67">
        <w:rPr>
          <w:color w:val="3B3838" w:themeColor="background2" w:themeShade="40"/>
        </w:rPr>
        <w:t>au sens de l'article 1er de l'arrêté du 19 février 1987</w:t>
      </w:r>
      <w:r w:rsidR="008D2A67">
        <w:rPr>
          <w:color w:val="3B3838" w:themeColor="background2" w:themeShade="40"/>
        </w:rPr>
        <w:t>.</w:t>
      </w:r>
      <w:r w:rsidR="008D2A67" w:rsidRPr="008D2A67">
        <w:rPr>
          <w:color w:val="3B3838" w:themeColor="background2" w:themeShade="40"/>
        </w:rPr>
        <w:t xml:space="preserve"> </w:t>
      </w:r>
    </w:p>
    <w:p w14:paraId="3C04D62A" w14:textId="77777777" w:rsidR="00BB3468" w:rsidRPr="00FF7688" w:rsidRDefault="00BB3468" w:rsidP="00BB3468">
      <w:pPr>
        <w:spacing w:after="0" w:line="240" w:lineRule="auto"/>
        <w:ind w:left="567"/>
        <w:jc w:val="both"/>
        <w:rPr>
          <w:color w:val="3B3838" w:themeColor="background2" w:themeShade="40"/>
        </w:rPr>
      </w:pPr>
    </w:p>
    <w:p w14:paraId="2098CC52" w14:textId="77777777"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Le candidat fait devant le jury un exposé sur l'ensemble de ses travaux et, éventuellement, pour une partie d'entre eux, une démonstration. Cet exposé donne lieu à une discussion avec le jury.</w:t>
      </w:r>
    </w:p>
    <w:p w14:paraId="20E32F12" w14:textId="77777777" w:rsidR="00BB3468" w:rsidRPr="00FF7688" w:rsidRDefault="00BB3468" w:rsidP="00BB3468">
      <w:pPr>
        <w:spacing w:after="0" w:line="240" w:lineRule="auto"/>
        <w:ind w:left="567"/>
        <w:jc w:val="both"/>
        <w:rPr>
          <w:color w:val="3B3838" w:themeColor="background2" w:themeShade="40"/>
        </w:rPr>
      </w:pPr>
    </w:p>
    <w:p w14:paraId="469191BE" w14:textId="77777777"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Le jury procède à un examen de la valeur du candidat, évalue sa capacité à concevoir, diriger, animer et coordonner des activités de recherche et de valorisation et statue sur la délivrance de l'habilitation.</w:t>
      </w:r>
    </w:p>
    <w:p w14:paraId="5990F572" w14:textId="77777777" w:rsidR="00BB3468" w:rsidRPr="00FF7688" w:rsidRDefault="00BB3468" w:rsidP="00BB3468">
      <w:pPr>
        <w:spacing w:after="0" w:line="240" w:lineRule="auto"/>
        <w:ind w:left="567"/>
        <w:jc w:val="both"/>
        <w:rPr>
          <w:color w:val="3B3838" w:themeColor="background2" w:themeShade="40"/>
        </w:rPr>
      </w:pPr>
    </w:p>
    <w:p w14:paraId="292504EF" w14:textId="7B6C1F2B"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 xml:space="preserve">Au terme de la soutenance des travaux, le jury délibère en tenant compte des rapports écrits à sa disposition et statue sur l’issue finale de la procédure en accordant ou refusant </w:t>
      </w:r>
      <w:r w:rsidRPr="00FA15A1">
        <w:rPr>
          <w:color w:val="3B3838" w:themeColor="background2" w:themeShade="40"/>
        </w:rPr>
        <w:t>le diplôme</w:t>
      </w:r>
      <w:r w:rsidRPr="00FF7688">
        <w:rPr>
          <w:color w:val="3B3838" w:themeColor="background2" w:themeShade="40"/>
        </w:rPr>
        <w:t xml:space="preserve"> d’HDR au candidat. Un rapport </w:t>
      </w:r>
      <w:r w:rsidR="008D2A67">
        <w:rPr>
          <w:color w:val="3B3838" w:themeColor="background2" w:themeShade="40"/>
        </w:rPr>
        <w:t>de soutenance</w:t>
      </w:r>
      <w:r w:rsidR="008D2A67" w:rsidRPr="00FF7688">
        <w:rPr>
          <w:color w:val="3B3838" w:themeColor="background2" w:themeShade="40"/>
        </w:rPr>
        <w:t xml:space="preserve"> </w:t>
      </w:r>
      <w:r w:rsidRPr="00FF7688">
        <w:rPr>
          <w:color w:val="3B3838" w:themeColor="background2" w:themeShade="40"/>
        </w:rPr>
        <w:t xml:space="preserve">est établi </w:t>
      </w:r>
      <w:r w:rsidR="00453759">
        <w:rPr>
          <w:color w:val="3B3838" w:themeColor="background2" w:themeShade="40"/>
        </w:rPr>
        <w:t xml:space="preserve">par le </w:t>
      </w:r>
      <w:r w:rsidR="008C529A">
        <w:rPr>
          <w:color w:val="3B3838" w:themeColor="background2" w:themeShade="40"/>
        </w:rPr>
        <w:t>P</w:t>
      </w:r>
      <w:r w:rsidR="00453759">
        <w:rPr>
          <w:color w:val="3B3838" w:themeColor="background2" w:themeShade="40"/>
        </w:rPr>
        <w:t>résident</w:t>
      </w:r>
      <w:r w:rsidR="008C529A">
        <w:rPr>
          <w:color w:val="3B3838" w:themeColor="background2" w:themeShade="40"/>
        </w:rPr>
        <w:t xml:space="preserve"> du jury</w:t>
      </w:r>
      <w:r w:rsidR="00453759">
        <w:rPr>
          <w:color w:val="3B3838" w:themeColor="background2" w:themeShade="40"/>
        </w:rPr>
        <w:t xml:space="preserve">, </w:t>
      </w:r>
      <w:r w:rsidRPr="00FF7688">
        <w:rPr>
          <w:color w:val="3B3838" w:themeColor="background2" w:themeShade="40"/>
        </w:rPr>
        <w:t xml:space="preserve">contresigné par l’ensemble des membres du jury et communiqué au candidat. </w:t>
      </w:r>
    </w:p>
    <w:p w14:paraId="17F00973" w14:textId="77777777" w:rsidR="00345E3F" w:rsidRDefault="00345E3F" w:rsidP="00345E3F">
      <w:pPr>
        <w:spacing w:after="0" w:line="240" w:lineRule="auto"/>
        <w:rPr>
          <w:color w:val="3B3838" w:themeColor="background2" w:themeShade="40"/>
        </w:rPr>
      </w:pPr>
    </w:p>
    <w:p w14:paraId="529E56BB" w14:textId="75B410A9" w:rsidR="00BB3468" w:rsidRPr="00FF7688" w:rsidRDefault="00BB3468" w:rsidP="00345E3F">
      <w:pPr>
        <w:spacing w:after="0" w:line="240" w:lineRule="auto"/>
        <w:ind w:left="567"/>
        <w:rPr>
          <w:color w:val="3B3838" w:themeColor="background2" w:themeShade="40"/>
        </w:rPr>
      </w:pPr>
      <w:r w:rsidRPr="00FF7688">
        <w:rPr>
          <w:color w:val="3B3838" w:themeColor="background2" w:themeShade="40"/>
        </w:rPr>
        <w:t xml:space="preserve">Le Président du jury écrit dans le procès-verbal de soutenance la décision du jury et transmet le PV ainsi que </w:t>
      </w:r>
      <w:proofErr w:type="gramStart"/>
      <w:r w:rsidRPr="00FF7688">
        <w:rPr>
          <w:color w:val="3B3838" w:themeColor="background2" w:themeShade="40"/>
        </w:rPr>
        <w:t>l</w:t>
      </w:r>
      <w:r w:rsidR="008C529A">
        <w:rPr>
          <w:color w:val="3B3838" w:themeColor="background2" w:themeShade="40"/>
        </w:rPr>
        <w:t>e  rapport</w:t>
      </w:r>
      <w:proofErr w:type="gramEnd"/>
      <w:r w:rsidR="008C529A">
        <w:rPr>
          <w:color w:val="3B3838" w:themeColor="background2" w:themeShade="40"/>
        </w:rPr>
        <w:t xml:space="preserve"> </w:t>
      </w:r>
      <w:r w:rsidRPr="00FF7688">
        <w:rPr>
          <w:color w:val="3B3838" w:themeColor="background2" w:themeShade="40"/>
        </w:rPr>
        <w:t>au SRV, signés des membres du jury lors de la délibération, dans un délai d’un</w:t>
      </w:r>
      <w:r w:rsidR="008C529A">
        <w:rPr>
          <w:color w:val="3B3838" w:themeColor="background2" w:themeShade="40"/>
        </w:rPr>
        <w:t xml:space="preserve"> mois</w:t>
      </w:r>
      <w:r w:rsidRPr="00FF7688">
        <w:rPr>
          <w:color w:val="3B3838" w:themeColor="background2" w:themeShade="40"/>
        </w:rPr>
        <w:t xml:space="preserve"> suivant la soutenance.</w:t>
      </w:r>
    </w:p>
    <w:p w14:paraId="1F722CD6" w14:textId="77777777" w:rsidR="00BB3468" w:rsidRPr="00FF7688" w:rsidRDefault="00BB3468" w:rsidP="00BB3468">
      <w:pPr>
        <w:spacing w:after="0" w:line="240" w:lineRule="auto"/>
        <w:ind w:left="567"/>
        <w:jc w:val="both"/>
        <w:rPr>
          <w:color w:val="3B3838" w:themeColor="background2" w:themeShade="40"/>
        </w:rPr>
      </w:pPr>
    </w:p>
    <w:p w14:paraId="7A2ECC9B" w14:textId="77777777" w:rsidR="00BB3468" w:rsidRPr="00FF7688" w:rsidRDefault="00BB3468" w:rsidP="00BB3468">
      <w:pPr>
        <w:spacing w:after="0" w:line="240" w:lineRule="auto"/>
        <w:ind w:left="567"/>
        <w:jc w:val="both"/>
        <w:rPr>
          <w:color w:val="3B3838" w:themeColor="background2" w:themeShade="40"/>
        </w:rPr>
      </w:pPr>
      <w:r w:rsidRPr="00FF7688">
        <w:rPr>
          <w:color w:val="3B3838" w:themeColor="background2" w:themeShade="40"/>
        </w:rPr>
        <w:t>Aucune attestation ou diplôme ne peut être délivré avant la réception de l’ensemble de ces documents.</w:t>
      </w:r>
    </w:p>
    <w:p w14:paraId="0A25385E" w14:textId="77777777" w:rsidR="00BB3468" w:rsidRDefault="00BB3468" w:rsidP="00BB3468">
      <w:pPr>
        <w:jc w:val="both"/>
        <w:rPr>
          <w:i/>
          <w:highlight w:val="yellow"/>
        </w:rPr>
      </w:pPr>
    </w:p>
    <w:tbl>
      <w:tblPr>
        <w:tblStyle w:val="Grilledutableau"/>
        <w:tblW w:w="9356" w:type="dxa"/>
        <w:tblLook w:val="04A0" w:firstRow="1" w:lastRow="0" w:firstColumn="1" w:lastColumn="0" w:noHBand="0" w:noVBand="1"/>
      </w:tblPr>
      <w:tblGrid>
        <w:gridCol w:w="4530"/>
        <w:gridCol w:w="4826"/>
      </w:tblGrid>
      <w:tr w:rsidR="00BB3468" w14:paraId="2815BF7D" w14:textId="77777777" w:rsidTr="006838B8">
        <w:tc>
          <w:tcPr>
            <w:tcW w:w="9356" w:type="dxa"/>
            <w:gridSpan w:val="2"/>
            <w:tcBorders>
              <w:top w:val="nil"/>
              <w:left w:val="nil"/>
              <w:bottom w:val="nil"/>
              <w:right w:val="nil"/>
            </w:tcBorders>
            <w:shd w:val="clear" w:color="auto" w:fill="EDEDED" w:themeFill="accent3" w:themeFillTint="33"/>
          </w:tcPr>
          <w:p w14:paraId="50F02705" w14:textId="77777777" w:rsidR="00BB3468" w:rsidRPr="00E85342" w:rsidRDefault="00BB3468" w:rsidP="00BB3468">
            <w:pPr>
              <w:shd w:val="clear" w:color="auto" w:fill="EDEDED" w:themeFill="accent3" w:themeFillTint="33"/>
              <w:ind w:left="-105"/>
              <w:jc w:val="center"/>
              <w:rPr>
                <w:sz w:val="24"/>
                <w:szCs w:val="24"/>
              </w:rPr>
            </w:pPr>
            <w:r w:rsidRPr="00E85342">
              <w:rPr>
                <w:b/>
                <w:color w:val="ED7D31" w:themeColor="accent2"/>
                <w:sz w:val="28"/>
                <w:szCs w:val="28"/>
              </w:rPr>
              <w:t>Contact Soutenance HDR</w:t>
            </w:r>
          </w:p>
        </w:tc>
      </w:tr>
      <w:tr w:rsidR="00BB3468" w:rsidRPr="00A80A64" w14:paraId="48C645B0" w14:textId="77777777" w:rsidTr="006838B8">
        <w:tc>
          <w:tcPr>
            <w:tcW w:w="4530" w:type="dxa"/>
            <w:tcBorders>
              <w:top w:val="nil"/>
              <w:left w:val="nil"/>
              <w:bottom w:val="nil"/>
              <w:right w:val="nil"/>
            </w:tcBorders>
            <w:shd w:val="clear" w:color="auto" w:fill="EDEDED" w:themeFill="accent3" w:themeFillTint="33"/>
          </w:tcPr>
          <w:p w14:paraId="655FDBA0" w14:textId="6299DDD9" w:rsidR="00BB3468" w:rsidRPr="00FF7688" w:rsidRDefault="007504A6" w:rsidP="00BB3468">
            <w:pPr>
              <w:spacing w:after="0" w:line="240" w:lineRule="auto"/>
              <w:ind w:left="748"/>
              <w:rPr>
                <w:b/>
                <w:color w:val="3B3838" w:themeColor="background2" w:themeShade="40"/>
                <w:sz w:val="24"/>
                <w:szCs w:val="24"/>
              </w:rPr>
            </w:pPr>
            <w:r>
              <w:rPr>
                <w:b/>
                <w:color w:val="3B3838" w:themeColor="background2" w:themeShade="40"/>
                <w:sz w:val="24"/>
                <w:szCs w:val="24"/>
              </w:rPr>
              <w:t>Pour les thématiques relevant de l’</w:t>
            </w:r>
            <w:r w:rsidR="00BB3468" w:rsidRPr="00FF7688">
              <w:rPr>
                <w:b/>
                <w:color w:val="3B3838" w:themeColor="background2" w:themeShade="40"/>
                <w:sz w:val="24"/>
                <w:szCs w:val="24"/>
              </w:rPr>
              <w:t>ED 305</w:t>
            </w:r>
            <w:r>
              <w:rPr>
                <w:b/>
                <w:color w:val="3B3838" w:themeColor="background2" w:themeShade="40"/>
                <w:sz w:val="24"/>
                <w:szCs w:val="24"/>
              </w:rPr>
              <w:t> :</w:t>
            </w:r>
          </w:p>
          <w:p w14:paraId="29797253" w14:textId="0A4EB943" w:rsidR="00BB3468" w:rsidRPr="00FF7688" w:rsidRDefault="00BB3468" w:rsidP="00BB3468">
            <w:pPr>
              <w:spacing w:after="0" w:line="240" w:lineRule="auto"/>
              <w:ind w:left="748"/>
              <w:rPr>
                <w:color w:val="3B3838" w:themeColor="background2" w:themeShade="40"/>
                <w:sz w:val="24"/>
                <w:szCs w:val="24"/>
              </w:rPr>
            </w:pPr>
            <w:r w:rsidRPr="00FF7688">
              <w:rPr>
                <w:color w:val="3B3838" w:themeColor="background2" w:themeShade="40"/>
                <w:sz w:val="24"/>
                <w:szCs w:val="24"/>
              </w:rPr>
              <w:t xml:space="preserve">Emilie </w:t>
            </w:r>
            <w:r w:rsidR="004615FA">
              <w:rPr>
                <w:color w:val="3B3838" w:themeColor="background2" w:themeShade="40"/>
                <w:sz w:val="24"/>
                <w:szCs w:val="24"/>
              </w:rPr>
              <w:t>POLET</w:t>
            </w:r>
          </w:p>
          <w:p w14:paraId="3323B4E4" w14:textId="7AEBB530" w:rsidR="00BB3468" w:rsidRPr="00FF7688" w:rsidRDefault="004615FA" w:rsidP="00BB3468">
            <w:pPr>
              <w:spacing w:after="0" w:line="240" w:lineRule="auto"/>
              <w:ind w:left="748"/>
              <w:rPr>
                <w:color w:val="3B3838" w:themeColor="background2" w:themeShade="40"/>
                <w:sz w:val="24"/>
                <w:szCs w:val="24"/>
              </w:rPr>
            </w:pPr>
            <w:hyperlink r:id="rId8" w:history="1">
              <w:r w:rsidRPr="009C24BE">
                <w:rPr>
                  <w:rStyle w:val="Lienhypertexte"/>
                  <w:sz w:val="24"/>
                  <w:szCs w:val="24"/>
                  <w14:textFill>
                    <w14:solidFill>
                      <w14:srgbClr w14:val="0000FF">
                        <w14:lumMod w14:val="25000"/>
                      </w14:srgbClr>
                    </w14:solidFill>
                  </w14:textFill>
                </w:rPr>
                <w:t>emilie.polet@univ-perp.fr</w:t>
              </w:r>
            </w:hyperlink>
          </w:p>
          <w:p w14:paraId="7BDF6764" w14:textId="77777777" w:rsidR="00BB3468" w:rsidRPr="00FF7688" w:rsidRDefault="00BB3468" w:rsidP="00BB3468">
            <w:pPr>
              <w:spacing w:after="0" w:line="240" w:lineRule="auto"/>
              <w:ind w:left="748"/>
              <w:rPr>
                <w:color w:val="3B3838" w:themeColor="background2" w:themeShade="40"/>
                <w:sz w:val="24"/>
                <w:szCs w:val="24"/>
              </w:rPr>
            </w:pPr>
            <w:r w:rsidRPr="00FF7688">
              <w:rPr>
                <w:color w:val="3B3838" w:themeColor="background2" w:themeShade="40"/>
                <w:sz w:val="24"/>
                <w:szCs w:val="24"/>
              </w:rPr>
              <w:t>04 68 66 17 36</w:t>
            </w:r>
            <w:bookmarkStart w:id="3" w:name="_GoBack"/>
            <w:bookmarkEnd w:id="3"/>
          </w:p>
          <w:p w14:paraId="448E5BFE" w14:textId="77777777" w:rsidR="00BB3468" w:rsidRPr="00FF7688" w:rsidRDefault="00BB3468" w:rsidP="00BB3468">
            <w:pPr>
              <w:spacing w:after="0" w:line="240" w:lineRule="auto"/>
              <w:ind w:left="748"/>
              <w:rPr>
                <w:color w:val="3B3838" w:themeColor="background2" w:themeShade="40"/>
                <w:sz w:val="24"/>
                <w:szCs w:val="24"/>
              </w:rPr>
            </w:pPr>
          </w:p>
        </w:tc>
        <w:tc>
          <w:tcPr>
            <w:tcW w:w="4826" w:type="dxa"/>
            <w:tcBorders>
              <w:top w:val="nil"/>
              <w:left w:val="nil"/>
              <w:bottom w:val="nil"/>
              <w:right w:val="nil"/>
            </w:tcBorders>
            <w:shd w:val="clear" w:color="auto" w:fill="EDEDED" w:themeFill="accent3" w:themeFillTint="33"/>
          </w:tcPr>
          <w:p w14:paraId="246BF212" w14:textId="2D5C9DE8" w:rsidR="00BB3468" w:rsidRPr="00FF7688" w:rsidRDefault="007504A6" w:rsidP="00BB3468">
            <w:pPr>
              <w:spacing w:after="0" w:line="240" w:lineRule="auto"/>
              <w:ind w:left="896"/>
              <w:rPr>
                <w:b/>
                <w:color w:val="3B3838" w:themeColor="background2" w:themeShade="40"/>
                <w:sz w:val="24"/>
                <w:szCs w:val="24"/>
              </w:rPr>
            </w:pPr>
            <w:r>
              <w:rPr>
                <w:b/>
                <w:color w:val="3B3838" w:themeColor="background2" w:themeShade="40"/>
                <w:sz w:val="24"/>
                <w:szCs w:val="24"/>
              </w:rPr>
              <w:t>Pour les thématiques relevant de l’</w:t>
            </w:r>
            <w:r w:rsidR="00BB3468" w:rsidRPr="00FF7688">
              <w:rPr>
                <w:b/>
                <w:color w:val="3B3838" w:themeColor="background2" w:themeShade="40"/>
                <w:sz w:val="24"/>
                <w:szCs w:val="24"/>
              </w:rPr>
              <w:t>ED 544</w:t>
            </w:r>
            <w:r>
              <w:rPr>
                <w:b/>
                <w:color w:val="3B3838" w:themeColor="background2" w:themeShade="40"/>
                <w:sz w:val="24"/>
                <w:szCs w:val="24"/>
              </w:rPr>
              <w:t> :</w:t>
            </w:r>
          </w:p>
          <w:p w14:paraId="5C326B5D" w14:textId="77777777" w:rsidR="00BB3468" w:rsidRPr="00FF7688" w:rsidRDefault="00BB3468" w:rsidP="00BB3468">
            <w:pPr>
              <w:spacing w:after="0" w:line="240" w:lineRule="auto"/>
              <w:ind w:left="896"/>
              <w:rPr>
                <w:color w:val="3B3838" w:themeColor="background2" w:themeShade="40"/>
                <w:sz w:val="24"/>
                <w:szCs w:val="24"/>
              </w:rPr>
            </w:pPr>
            <w:r w:rsidRPr="00FF7688">
              <w:rPr>
                <w:color w:val="3B3838" w:themeColor="background2" w:themeShade="40"/>
                <w:sz w:val="24"/>
                <w:szCs w:val="24"/>
              </w:rPr>
              <w:t xml:space="preserve">Hélène GUISSET </w:t>
            </w:r>
          </w:p>
          <w:p w14:paraId="154DABED" w14:textId="77777777" w:rsidR="00BB3468" w:rsidRPr="00FF7688" w:rsidRDefault="004615FA" w:rsidP="00BB3468">
            <w:pPr>
              <w:spacing w:after="0" w:line="240" w:lineRule="auto"/>
              <w:ind w:left="896"/>
              <w:rPr>
                <w:color w:val="3B3838" w:themeColor="background2" w:themeShade="40"/>
                <w:sz w:val="24"/>
                <w:szCs w:val="24"/>
              </w:rPr>
            </w:pPr>
            <w:hyperlink r:id="rId9" w:history="1">
              <w:r w:rsidR="00BB3468" w:rsidRPr="00FF7688">
                <w:rPr>
                  <w:rStyle w:val="Lienhypertexte"/>
                  <w:color w:val="3B3838" w:themeColor="background2" w:themeShade="40"/>
                  <w:sz w:val="24"/>
                  <w:szCs w:val="24"/>
                </w:rPr>
                <w:t>guisset@univ-perp.fr</w:t>
              </w:r>
            </w:hyperlink>
          </w:p>
          <w:p w14:paraId="5FC94E1B" w14:textId="77777777" w:rsidR="00BB3468" w:rsidRPr="00FF7688" w:rsidRDefault="00BB3468" w:rsidP="00BB3468">
            <w:pPr>
              <w:spacing w:after="0" w:line="240" w:lineRule="auto"/>
              <w:ind w:left="896"/>
              <w:rPr>
                <w:color w:val="3B3838" w:themeColor="background2" w:themeShade="40"/>
                <w:sz w:val="24"/>
                <w:szCs w:val="24"/>
              </w:rPr>
            </w:pPr>
            <w:r w:rsidRPr="00FF7688">
              <w:rPr>
                <w:color w:val="3B3838" w:themeColor="background2" w:themeShade="40"/>
                <w:sz w:val="24"/>
                <w:szCs w:val="24"/>
              </w:rPr>
              <w:t xml:space="preserve">04 68 66 20 05 </w:t>
            </w:r>
          </w:p>
        </w:tc>
      </w:tr>
    </w:tbl>
    <w:p w14:paraId="4B385D8F" w14:textId="5D6F2032" w:rsidR="00BB3468" w:rsidRPr="009805EF" w:rsidRDefault="00BB3468" w:rsidP="00BB3468">
      <w:pPr>
        <w:rPr>
          <w:b/>
          <w:color w:val="ED7D31" w:themeColor="accent2"/>
          <w:sz w:val="28"/>
          <w:szCs w:val="28"/>
        </w:rPr>
      </w:pPr>
      <w:r w:rsidRPr="009805EF">
        <w:rPr>
          <w:b/>
          <w:color w:val="ED7D31" w:themeColor="accent2"/>
          <w:sz w:val="28"/>
          <w:szCs w:val="28"/>
        </w:rPr>
        <w:t>ANNEXES</w:t>
      </w:r>
    </w:p>
    <w:p w14:paraId="4C6A1116" w14:textId="77777777" w:rsidR="00BB3468" w:rsidRPr="009805EF" w:rsidRDefault="00BB3468" w:rsidP="00BB3468">
      <w:pPr>
        <w:spacing w:after="0" w:line="240" w:lineRule="auto"/>
        <w:jc w:val="both"/>
        <w:rPr>
          <w:b/>
          <w:color w:val="ED7D31" w:themeColor="accent2"/>
          <w:sz w:val="24"/>
          <w:szCs w:val="24"/>
        </w:rPr>
      </w:pPr>
      <w:r w:rsidRPr="009805EF">
        <w:rPr>
          <w:b/>
          <w:color w:val="ED7D31" w:themeColor="accent2"/>
          <w:sz w:val="24"/>
          <w:szCs w:val="24"/>
        </w:rPr>
        <w:t>Fiches à compléter</w:t>
      </w:r>
    </w:p>
    <w:p w14:paraId="1C1E668A" w14:textId="77777777" w:rsidR="00BB3468" w:rsidRPr="009805EF" w:rsidRDefault="00BB3468" w:rsidP="00BB3468">
      <w:pPr>
        <w:spacing w:after="0" w:line="240" w:lineRule="auto"/>
        <w:jc w:val="both"/>
        <w:rPr>
          <w:color w:val="3B3838" w:themeColor="background2" w:themeShade="40"/>
        </w:rPr>
      </w:pPr>
      <w:r w:rsidRPr="009805EF">
        <w:rPr>
          <w:color w:val="3B3838" w:themeColor="background2" w:themeShade="40"/>
        </w:rPr>
        <w:t>Annexe A - Demande d’inscription à l’HDR</w:t>
      </w:r>
    </w:p>
    <w:p w14:paraId="55508509" w14:textId="77777777" w:rsidR="00BB3468" w:rsidRPr="009805EF" w:rsidRDefault="00BB3468" w:rsidP="00BB3468">
      <w:pPr>
        <w:spacing w:after="0" w:line="240" w:lineRule="auto"/>
        <w:jc w:val="both"/>
        <w:rPr>
          <w:color w:val="3B3838" w:themeColor="background2" w:themeShade="40"/>
        </w:rPr>
      </w:pPr>
      <w:r w:rsidRPr="009805EF">
        <w:rPr>
          <w:color w:val="3B3838" w:themeColor="background2" w:themeShade="40"/>
        </w:rPr>
        <w:t>Annexe B - Désignation des rapporteurs</w:t>
      </w:r>
    </w:p>
    <w:p w14:paraId="0D0CA05C" w14:textId="77777777" w:rsidR="00BB3468" w:rsidRPr="009805EF" w:rsidRDefault="00BB3468" w:rsidP="00BB3468">
      <w:pPr>
        <w:spacing w:after="0" w:line="240" w:lineRule="auto"/>
        <w:jc w:val="both"/>
        <w:rPr>
          <w:color w:val="3B3838" w:themeColor="background2" w:themeShade="40"/>
        </w:rPr>
      </w:pPr>
      <w:r w:rsidRPr="009805EF">
        <w:rPr>
          <w:color w:val="3B3838" w:themeColor="background2" w:themeShade="40"/>
        </w:rPr>
        <w:t>Annexe C - Désignation des membres du jury</w:t>
      </w:r>
    </w:p>
    <w:p w14:paraId="3870A717" w14:textId="77777777" w:rsidR="00BB3468" w:rsidRPr="009805EF" w:rsidRDefault="00BB3468" w:rsidP="00BB3468">
      <w:pPr>
        <w:spacing w:after="0" w:line="240" w:lineRule="auto"/>
        <w:jc w:val="both"/>
        <w:rPr>
          <w:b/>
          <w:color w:val="ED7D31" w:themeColor="accent2"/>
          <w:sz w:val="24"/>
          <w:szCs w:val="24"/>
        </w:rPr>
      </w:pPr>
    </w:p>
    <w:p w14:paraId="54C6E3A3" w14:textId="77777777" w:rsidR="00BB3468" w:rsidRPr="009805EF" w:rsidRDefault="00BB3468" w:rsidP="00BB3468">
      <w:pPr>
        <w:spacing w:after="0" w:line="240" w:lineRule="auto"/>
        <w:jc w:val="both"/>
        <w:rPr>
          <w:b/>
          <w:color w:val="ED7D31" w:themeColor="accent2"/>
          <w:sz w:val="24"/>
          <w:szCs w:val="24"/>
        </w:rPr>
      </w:pPr>
      <w:r w:rsidRPr="009805EF">
        <w:rPr>
          <w:b/>
          <w:color w:val="ED7D31" w:themeColor="accent2"/>
          <w:sz w:val="24"/>
          <w:szCs w:val="24"/>
        </w:rPr>
        <w:t>Liste des pièces à fournir</w:t>
      </w:r>
    </w:p>
    <w:p w14:paraId="6D17CC96" w14:textId="77777777" w:rsidR="00BB3468" w:rsidRPr="00FF7688" w:rsidRDefault="00BB3468" w:rsidP="00BB3468">
      <w:pPr>
        <w:spacing w:after="0" w:line="240" w:lineRule="auto"/>
        <w:jc w:val="both"/>
        <w:rPr>
          <w:color w:val="3B3838" w:themeColor="background2" w:themeShade="40"/>
        </w:rPr>
      </w:pPr>
      <w:r w:rsidRPr="009805EF">
        <w:rPr>
          <w:color w:val="3B3838" w:themeColor="background2" w:themeShade="40"/>
        </w:rPr>
        <w:t>Annexe 1 – Dossier de candidature à l’HDR</w:t>
      </w:r>
    </w:p>
    <w:p w14:paraId="451097AB" w14:textId="77777777" w:rsidR="00BB3468" w:rsidRPr="00FF7688" w:rsidRDefault="00BB3468" w:rsidP="00BB3468">
      <w:pPr>
        <w:spacing w:after="0" w:line="240" w:lineRule="auto"/>
        <w:jc w:val="both"/>
        <w:rPr>
          <w:i/>
          <w:color w:val="3B3838" w:themeColor="background2" w:themeShade="40"/>
          <w:sz w:val="28"/>
          <w:szCs w:val="28"/>
        </w:rPr>
      </w:pPr>
    </w:p>
    <w:p w14:paraId="28975AA8" w14:textId="77777777" w:rsidR="00BB3468" w:rsidRPr="00F3628F" w:rsidRDefault="00BB3468" w:rsidP="00BB3468">
      <w:pPr>
        <w:jc w:val="both"/>
        <w:rPr>
          <w:i/>
        </w:rPr>
      </w:pPr>
    </w:p>
    <w:p w14:paraId="517DA936" w14:textId="77777777" w:rsidR="00C97121" w:rsidRDefault="00C97121" w:rsidP="00D644E6"/>
    <w:sectPr w:rsidR="00C97121" w:rsidSect="002F0255">
      <w:headerReference w:type="even" r:id="rId10"/>
      <w:headerReference w:type="default" r:id="rId11"/>
      <w:footerReference w:type="even" r:id="rId12"/>
      <w:footerReference w:type="default" r:id="rId13"/>
      <w:headerReference w:type="first" r:id="rId14"/>
      <w:footerReference w:type="first" r:id="rId15"/>
      <w:pgSz w:w="11906" w:h="16838"/>
      <w:pgMar w:top="2085" w:right="1418" w:bottom="244" w:left="1418"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987E7" w14:textId="77777777" w:rsidR="00A52269" w:rsidRDefault="00A52269" w:rsidP="00AD7598">
      <w:pPr>
        <w:spacing w:after="0" w:line="240" w:lineRule="auto"/>
      </w:pPr>
      <w:r>
        <w:separator/>
      </w:r>
    </w:p>
  </w:endnote>
  <w:endnote w:type="continuationSeparator" w:id="0">
    <w:p w14:paraId="5CCE033F" w14:textId="77777777" w:rsidR="00A52269" w:rsidRDefault="00A52269" w:rsidP="00AD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altName w:val="Verdan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19805" w14:textId="77777777" w:rsidR="00F06617" w:rsidRDefault="00F066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4C36" w14:textId="1E58FC77" w:rsidR="00E67EA9" w:rsidRDefault="00E67EA9">
    <w:pPr>
      <w:pStyle w:val="Pieddepage"/>
      <w:jc w:val="right"/>
    </w:pPr>
    <w:r>
      <w:fldChar w:fldCharType="begin"/>
    </w:r>
    <w:r>
      <w:instrText>PAGE   \* MERGEFORMAT</w:instrText>
    </w:r>
    <w:r>
      <w:fldChar w:fldCharType="separate"/>
    </w:r>
    <w:r w:rsidR="005C2142">
      <w:rPr>
        <w:noProof/>
      </w:rPr>
      <w:t>6</w:t>
    </w:r>
    <w:r>
      <w:fldChar w:fldCharType="end"/>
    </w:r>
  </w:p>
  <w:p w14:paraId="00837EB3" w14:textId="77777777" w:rsidR="001853F0" w:rsidRDefault="001853F0" w:rsidP="00A968FC">
    <w:pPr>
      <w:tabs>
        <w:tab w:val="right" w:pos="888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065A" w14:textId="77777777" w:rsidR="00F06617" w:rsidRDefault="00F066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C72C6" w14:textId="77777777" w:rsidR="00A52269" w:rsidRDefault="00A52269" w:rsidP="00AD7598">
      <w:pPr>
        <w:spacing w:after="0" w:line="240" w:lineRule="auto"/>
      </w:pPr>
      <w:r>
        <w:separator/>
      </w:r>
    </w:p>
  </w:footnote>
  <w:footnote w:type="continuationSeparator" w:id="0">
    <w:p w14:paraId="0594B0F8" w14:textId="77777777" w:rsidR="00A52269" w:rsidRDefault="00A52269" w:rsidP="00AD7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E71C" w14:textId="77777777" w:rsidR="00F06617" w:rsidRDefault="00F066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9150" w14:textId="306BD4F4" w:rsidR="00A11153" w:rsidRDefault="00F06617" w:rsidP="002F0255">
    <w:pPr>
      <w:pStyle w:val="En-tte"/>
      <w:ind w:left="-851"/>
    </w:pPr>
    <w:r>
      <w:rPr>
        <w:noProof/>
      </w:rPr>
      <w:drawing>
        <wp:inline distT="0" distB="0" distL="0" distR="0" wp14:anchorId="18777D53" wp14:editId="0DDD2579">
          <wp:extent cx="1721301" cy="853440"/>
          <wp:effectExtent l="0" t="0" r="0" b="381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5248" cy="8851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1E75" w14:textId="77777777" w:rsidR="00F06617" w:rsidRDefault="00F066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5DB"/>
    <w:multiLevelType w:val="hybridMultilevel"/>
    <w:tmpl w:val="A40839E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1D9646E6"/>
    <w:multiLevelType w:val="hybridMultilevel"/>
    <w:tmpl w:val="778494A4"/>
    <w:lvl w:ilvl="0" w:tplc="040C000B">
      <w:start w:val="1"/>
      <w:numFmt w:val="bullet"/>
      <w:lvlText w:val=""/>
      <w:lvlJc w:val="left"/>
      <w:pPr>
        <w:tabs>
          <w:tab w:val="num" w:pos="5180"/>
        </w:tabs>
        <w:ind w:left="5180" w:hanging="360"/>
      </w:pPr>
      <w:rPr>
        <w:rFonts w:ascii="Wingdings" w:hAnsi="Wingdings" w:hint="default"/>
      </w:rPr>
    </w:lvl>
    <w:lvl w:ilvl="1" w:tplc="040C0003" w:tentative="1">
      <w:start w:val="1"/>
      <w:numFmt w:val="bullet"/>
      <w:lvlText w:val="o"/>
      <w:lvlJc w:val="left"/>
      <w:pPr>
        <w:tabs>
          <w:tab w:val="num" w:pos="5900"/>
        </w:tabs>
        <w:ind w:left="5900" w:hanging="360"/>
      </w:pPr>
      <w:rPr>
        <w:rFonts w:ascii="Courier New" w:hAnsi="Courier New" w:cs="Courier New" w:hint="default"/>
      </w:rPr>
    </w:lvl>
    <w:lvl w:ilvl="2" w:tplc="040C0005" w:tentative="1">
      <w:start w:val="1"/>
      <w:numFmt w:val="bullet"/>
      <w:lvlText w:val=""/>
      <w:lvlJc w:val="left"/>
      <w:pPr>
        <w:tabs>
          <w:tab w:val="num" w:pos="6620"/>
        </w:tabs>
        <w:ind w:left="6620" w:hanging="360"/>
      </w:pPr>
      <w:rPr>
        <w:rFonts w:ascii="Wingdings" w:hAnsi="Wingdings" w:hint="default"/>
      </w:rPr>
    </w:lvl>
    <w:lvl w:ilvl="3" w:tplc="040C0001" w:tentative="1">
      <w:start w:val="1"/>
      <w:numFmt w:val="bullet"/>
      <w:lvlText w:val=""/>
      <w:lvlJc w:val="left"/>
      <w:pPr>
        <w:tabs>
          <w:tab w:val="num" w:pos="7340"/>
        </w:tabs>
        <w:ind w:left="7340" w:hanging="360"/>
      </w:pPr>
      <w:rPr>
        <w:rFonts w:ascii="Symbol" w:hAnsi="Symbol" w:hint="default"/>
      </w:rPr>
    </w:lvl>
    <w:lvl w:ilvl="4" w:tplc="040C0003" w:tentative="1">
      <w:start w:val="1"/>
      <w:numFmt w:val="bullet"/>
      <w:lvlText w:val="o"/>
      <w:lvlJc w:val="left"/>
      <w:pPr>
        <w:tabs>
          <w:tab w:val="num" w:pos="8060"/>
        </w:tabs>
        <w:ind w:left="8060" w:hanging="360"/>
      </w:pPr>
      <w:rPr>
        <w:rFonts w:ascii="Courier New" w:hAnsi="Courier New" w:cs="Courier New" w:hint="default"/>
      </w:rPr>
    </w:lvl>
    <w:lvl w:ilvl="5" w:tplc="040C0005" w:tentative="1">
      <w:start w:val="1"/>
      <w:numFmt w:val="bullet"/>
      <w:lvlText w:val=""/>
      <w:lvlJc w:val="left"/>
      <w:pPr>
        <w:tabs>
          <w:tab w:val="num" w:pos="8780"/>
        </w:tabs>
        <w:ind w:left="8780" w:hanging="360"/>
      </w:pPr>
      <w:rPr>
        <w:rFonts w:ascii="Wingdings" w:hAnsi="Wingdings" w:hint="default"/>
      </w:rPr>
    </w:lvl>
    <w:lvl w:ilvl="6" w:tplc="040C0001" w:tentative="1">
      <w:start w:val="1"/>
      <w:numFmt w:val="bullet"/>
      <w:lvlText w:val=""/>
      <w:lvlJc w:val="left"/>
      <w:pPr>
        <w:tabs>
          <w:tab w:val="num" w:pos="9500"/>
        </w:tabs>
        <w:ind w:left="9500" w:hanging="360"/>
      </w:pPr>
      <w:rPr>
        <w:rFonts w:ascii="Symbol" w:hAnsi="Symbol" w:hint="default"/>
      </w:rPr>
    </w:lvl>
    <w:lvl w:ilvl="7" w:tplc="040C0003" w:tentative="1">
      <w:start w:val="1"/>
      <w:numFmt w:val="bullet"/>
      <w:lvlText w:val="o"/>
      <w:lvlJc w:val="left"/>
      <w:pPr>
        <w:tabs>
          <w:tab w:val="num" w:pos="10220"/>
        </w:tabs>
        <w:ind w:left="10220" w:hanging="360"/>
      </w:pPr>
      <w:rPr>
        <w:rFonts w:ascii="Courier New" w:hAnsi="Courier New" w:cs="Courier New" w:hint="default"/>
      </w:rPr>
    </w:lvl>
    <w:lvl w:ilvl="8" w:tplc="040C0005" w:tentative="1">
      <w:start w:val="1"/>
      <w:numFmt w:val="bullet"/>
      <w:lvlText w:val=""/>
      <w:lvlJc w:val="left"/>
      <w:pPr>
        <w:tabs>
          <w:tab w:val="num" w:pos="10940"/>
        </w:tabs>
        <w:ind w:left="10940" w:hanging="360"/>
      </w:pPr>
      <w:rPr>
        <w:rFonts w:ascii="Wingdings" w:hAnsi="Wingdings" w:hint="default"/>
      </w:rPr>
    </w:lvl>
  </w:abstractNum>
  <w:abstractNum w:abstractNumId="2" w15:restartNumberingAfterBreak="0">
    <w:nsid w:val="2C5E4CBA"/>
    <w:multiLevelType w:val="hybridMultilevel"/>
    <w:tmpl w:val="A7BEAE6C"/>
    <w:lvl w:ilvl="0" w:tplc="040C0001">
      <w:start w:val="1"/>
      <w:numFmt w:val="bullet"/>
      <w:lvlText w:val=""/>
      <w:lvlJc w:val="left"/>
      <w:pPr>
        <w:ind w:left="1335" w:hanging="360"/>
      </w:pPr>
      <w:rPr>
        <w:rFonts w:ascii="Symbol" w:hAnsi="Symbol"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3" w15:restartNumberingAfterBreak="0">
    <w:nsid w:val="339105D8"/>
    <w:multiLevelType w:val="hybridMultilevel"/>
    <w:tmpl w:val="45E00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440671"/>
    <w:multiLevelType w:val="hybridMultilevel"/>
    <w:tmpl w:val="70B67B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AF6538"/>
    <w:multiLevelType w:val="hybridMultilevel"/>
    <w:tmpl w:val="C6AEBAF4"/>
    <w:lvl w:ilvl="0" w:tplc="90DA70EE">
      <w:numFmt w:val="bullet"/>
      <w:lvlText w:val=""/>
      <w:lvlJc w:val="left"/>
      <w:pPr>
        <w:ind w:left="927" w:hanging="360"/>
      </w:pPr>
      <w:rPr>
        <w:rFonts w:ascii="Wingdings" w:eastAsiaTheme="minorHAnsi" w:hAnsi="Wingdings" w:cs="Open Sans" w:hint="default"/>
        <w:color w:val="ED7D31" w:themeColor="accent2"/>
        <w:sz w:val="32"/>
        <w:szCs w:val="3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3E4F2C26"/>
    <w:multiLevelType w:val="hybridMultilevel"/>
    <w:tmpl w:val="DE5C0FF6"/>
    <w:lvl w:ilvl="0" w:tplc="4476B12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071DA3"/>
    <w:multiLevelType w:val="hybridMultilevel"/>
    <w:tmpl w:val="91641760"/>
    <w:lvl w:ilvl="0" w:tplc="3F0E846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71794F"/>
    <w:multiLevelType w:val="hybridMultilevel"/>
    <w:tmpl w:val="32846658"/>
    <w:lvl w:ilvl="0" w:tplc="11184C9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2D28E6"/>
    <w:multiLevelType w:val="hybridMultilevel"/>
    <w:tmpl w:val="E8DE12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9A03162"/>
    <w:multiLevelType w:val="hybridMultilevel"/>
    <w:tmpl w:val="72DE4AC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C9A6DBB"/>
    <w:multiLevelType w:val="hybridMultilevel"/>
    <w:tmpl w:val="2CC04B20"/>
    <w:lvl w:ilvl="0" w:tplc="8B1C2EA8">
      <w:start w:val="1"/>
      <w:numFmt w:val="bullet"/>
      <w:lvlText w:val=""/>
      <w:lvlJc w:val="left"/>
      <w:pPr>
        <w:ind w:left="4897" w:hanging="360"/>
      </w:pPr>
      <w:rPr>
        <w:rFonts w:ascii="Symbol" w:hAnsi="Symbol" w:hint="default"/>
        <w:color w:val="auto"/>
      </w:rPr>
    </w:lvl>
    <w:lvl w:ilvl="1" w:tplc="040C0003">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2" w15:restartNumberingAfterBreak="0">
    <w:nsid w:val="4FB80870"/>
    <w:multiLevelType w:val="hybridMultilevel"/>
    <w:tmpl w:val="AD88BB0A"/>
    <w:lvl w:ilvl="0" w:tplc="0A4082D0">
      <w:start w:val="1"/>
      <w:numFmt w:val="bullet"/>
      <w:lvlText w:val="ú"/>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107D41"/>
    <w:multiLevelType w:val="hybridMultilevel"/>
    <w:tmpl w:val="DF08CC30"/>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5A53625E"/>
    <w:multiLevelType w:val="hybridMultilevel"/>
    <w:tmpl w:val="1370EE5C"/>
    <w:lvl w:ilvl="0" w:tplc="4476B12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C947DE"/>
    <w:multiLevelType w:val="hybridMultilevel"/>
    <w:tmpl w:val="67048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0639D3"/>
    <w:multiLevelType w:val="hybridMultilevel"/>
    <w:tmpl w:val="1F14CE60"/>
    <w:lvl w:ilvl="0" w:tplc="5470D9E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AB50A0"/>
    <w:multiLevelType w:val="hybridMultilevel"/>
    <w:tmpl w:val="7E4A5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0C5089"/>
    <w:multiLevelType w:val="hybridMultilevel"/>
    <w:tmpl w:val="CE2C0DEE"/>
    <w:lvl w:ilvl="0" w:tplc="D2046128">
      <w:numFmt w:val="bullet"/>
      <w:lvlText w:val=""/>
      <w:lvlJc w:val="left"/>
      <w:pPr>
        <w:ind w:left="927" w:hanging="360"/>
      </w:pPr>
      <w:rPr>
        <w:rFonts w:ascii="Wingdings" w:eastAsiaTheme="minorHAnsi" w:hAnsi="Wingdings" w:cs="Open Sans" w:hint="default"/>
        <w:color w:val="ED7D31" w:themeColor="accent2"/>
        <w:sz w:val="32"/>
        <w:szCs w:val="3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74ED690E"/>
    <w:multiLevelType w:val="hybridMultilevel"/>
    <w:tmpl w:val="42E6F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C143D8"/>
    <w:multiLevelType w:val="hybridMultilevel"/>
    <w:tmpl w:val="0706DC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
  </w:num>
  <w:num w:numId="3">
    <w:abstractNumId w:val="10"/>
  </w:num>
  <w:num w:numId="4">
    <w:abstractNumId w:val="8"/>
  </w:num>
  <w:num w:numId="5">
    <w:abstractNumId w:val="16"/>
  </w:num>
  <w:num w:numId="6">
    <w:abstractNumId w:val="7"/>
  </w:num>
  <w:num w:numId="7">
    <w:abstractNumId w:val="14"/>
  </w:num>
  <w:num w:numId="8">
    <w:abstractNumId w:val="6"/>
  </w:num>
  <w:num w:numId="9">
    <w:abstractNumId w:val="12"/>
  </w:num>
  <w:num w:numId="10">
    <w:abstractNumId w:val="9"/>
  </w:num>
  <w:num w:numId="11">
    <w:abstractNumId w:val="11"/>
  </w:num>
  <w:num w:numId="12">
    <w:abstractNumId w:val="3"/>
  </w:num>
  <w:num w:numId="13">
    <w:abstractNumId w:val="20"/>
  </w:num>
  <w:num w:numId="14">
    <w:abstractNumId w:val="18"/>
  </w:num>
  <w:num w:numId="15">
    <w:abstractNumId w:val="5"/>
  </w:num>
  <w:num w:numId="16">
    <w:abstractNumId w:val="4"/>
  </w:num>
  <w:num w:numId="17">
    <w:abstractNumId w:val="17"/>
  </w:num>
  <w:num w:numId="18">
    <w:abstractNumId w:val="19"/>
  </w:num>
  <w:num w:numId="19">
    <w:abstractNumId w:val="2"/>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4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127E03"/>
    <w:rsid w:val="001549AB"/>
    <w:rsid w:val="001601F7"/>
    <w:rsid w:val="00160EDD"/>
    <w:rsid w:val="00163772"/>
    <w:rsid w:val="00173052"/>
    <w:rsid w:val="001853F0"/>
    <w:rsid w:val="00185D59"/>
    <w:rsid w:val="00191779"/>
    <w:rsid w:val="00194F3A"/>
    <w:rsid w:val="001A1609"/>
    <w:rsid w:val="001B6584"/>
    <w:rsid w:val="001D48CA"/>
    <w:rsid w:val="001F0954"/>
    <w:rsid w:val="00204269"/>
    <w:rsid w:val="002450E2"/>
    <w:rsid w:val="00271105"/>
    <w:rsid w:val="002732C6"/>
    <w:rsid w:val="00282B0A"/>
    <w:rsid w:val="00295C58"/>
    <w:rsid w:val="0029627C"/>
    <w:rsid w:val="002A388B"/>
    <w:rsid w:val="002A477B"/>
    <w:rsid w:val="002D7564"/>
    <w:rsid w:val="002E252C"/>
    <w:rsid w:val="002E7A57"/>
    <w:rsid w:val="002F0255"/>
    <w:rsid w:val="002F0D2C"/>
    <w:rsid w:val="00312DD3"/>
    <w:rsid w:val="00316E4C"/>
    <w:rsid w:val="003202E6"/>
    <w:rsid w:val="003405D6"/>
    <w:rsid w:val="00341A8B"/>
    <w:rsid w:val="00342563"/>
    <w:rsid w:val="00345E3F"/>
    <w:rsid w:val="00365DF1"/>
    <w:rsid w:val="00387D1C"/>
    <w:rsid w:val="00394046"/>
    <w:rsid w:val="003C0D18"/>
    <w:rsid w:val="003C5C5B"/>
    <w:rsid w:val="003E3315"/>
    <w:rsid w:val="0042437A"/>
    <w:rsid w:val="00424BB4"/>
    <w:rsid w:val="004364ED"/>
    <w:rsid w:val="00445182"/>
    <w:rsid w:val="00453759"/>
    <w:rsid w:val="004604F9"/>
    <w:rsid w:val="004615FA"/>
    <w:rsid w:val="00466E50"/>
    <w:rsid w:val="00474446"/>
    <w:rsid w:val="004A2802"/>
    <w:rsid w:val="004A43CA"/>
    <w:rsid w:val="004D5626"/>
    <w:rsid w:val="004F47B3"/>
    <w:rsid w:val="00504E24"/>
    <w:rsid w:val="005067D5"/>
    <w:rsid w:val="00530E4C"/>
    <w:rsid w:val="00575C5E"/>
    <w:rsid w:val="0057632B"/>
    <w:rsid w:val="00592C40"/>
    <w:rsid w:val="005C180B"/>
    <w:rsid w:val="005C2142"/>
    <w:rsid w:val="005F5AB6"/>
    <w:rsid w:val="00604880"/>
    <w:rsid w:val="00624255"/>
    <w:rsid w:val="00627787"/>
    <w:rsid w:val="00646D76"/>
    <w:rsid w:val="00651EC4"/>
    <w:rsid w:val="006537B6"/>
    <w:rsid w:val="006612DA"/>
    <w:rsid w:val="006874D6"/>
    <w:rsid w:val="00690A23"/>
    <w:rsid w:val="00693D59"/>
    <w:rsid w:val="006B172A"/>
    <w:rsid w:val="006C64B2"/>
    <w:rsid w:val="00703B71"/>
    <w:rsid w:val="00707A26"/>
    <w:rsid w:val="007504A6"/>
    <w:rsid w:val="0075577B"/>
    <w:rsid w:val="00757D72"/>
    <w:rsid w:val="00767E77"/>
    <w:rsid w:val="0077606D"/>
    <w:rsid w:val="0078372F"/>
    <w:rsid w:val="00794A52"/>
    <w:rsid w:val="007A418E"/>
    <w:rsid w:val="007A7272"/>
    <w:rsid w:val="007B271D"/>
    <w:rsid w:val="007C6047"/>
    <w:rsid w:val="007C75EE"/>
    <w:rsid w:val="007D02CD"/>
    <w:rsid w:val="007D11D6"/>
    <w:rsid w:val="007E3BA8"/>
    <w:rsid w:val="007F6C05"/>
    <w:rsid w:val="008036EA"/>
    <w:rsid w:val="00810AB0"/>
    <w:rsid w:val="00842B0E"/>
    <w:rsid w:val="00845E01"/>
    <w:rsid w:val="00855FEF"/>
    <w:rsid w:val="008560D3"/>
    <w:rsid w:val="00860DF0"/>
    <w:rsid w:val="00864198"/>
    <w:rsid w:val="008A3968"/>
    <w:rsid w:val="008A683B"/>
    <w:rsid w:val="008C24C4"/>
    <w:rsid w:val="008C502E"/>
    <w:rsid w:val="008C529A"/>
    <w:rsid w:val="008D26D7"/>
    <w:rsid w:val="008D2A67"/>
    <w:rsid w:val="008E1D3F"/>
    <w:rsid w:val="00953099"/>
    <w:rsid w:val="00965347"/>
    <w:rsid w:val="009805EF"/>
    <w:rsid w:val="009D5A71"/>
    <w:rsid w:val="009F6239"/>
    <w:rsid w:val="009F6545"/>
    <w:rsid w:val="00A11153"/>
    <w:rsid w:val="00A25947"/>
    <w:rsid w:val="00A26662"/>
    <w:rsid w:val="00A37455"/>
    <w:rsid w:val="00A52269"/>
    <w:rsid w:val="00A619AF"/>
    <w:rsid w:val="00A66A91"/>
    <w:rsid w:val="00A67109"/>
    <w:rsid w:val="00A968FC"/>
    <w:rsid w:val="00A97ACC"/>
    <w:rsid w:val="00AC5034"/>
    <w:rsid w:val="00AC716B"/>
    <w:rsid w:val="00AC71F1"/>
    <w:rsid w:val="00AD7598"/>
    <w:rsid w:val="00B26441"/>
    <w:rsid w:val="00B42347"/>
    <w:rsid w:val="00B479DA"/>
    <w:rsid w:val="00B55F3A"/>
    <w:rsid w:val="00B55F7A"/>
    <w:rsid w:val="00B9522F"/>
    <w:rsid w:val="00B96705"/>
    <w:rsid w:val="00BA1D2A"/>
    <w:rsid w:val="00BA746C"/>
    <w:rsid w:val="00BB3468"/>
    <w:rsid w:val="00BE7FCF"/>
    <w:rsid w:val="00C1625F"/>
    <w:rsid w:val="00C17ACA"/>
    <w:rsid w:val="00C33EF8"/>
    <w:rsid w:val="00C41074"/>
    <w:rsid w:val="00C67035"/>
    <w:rsid w:val="00C73B5B"/>
    <w:rsid w:val="00C80654"/>
    <w:rsid w:val="00C8188A"/>
    <w:rsid w:val="00C922A5"/>
    <w:rsid w:val="00C930BF"/>
    <w:rsid w:val="00C97121"/>
    <w:rsid w:val="00CB12A4"/>
    <w:rsid w:val="00CB45EF"/>
    <w:rsid w:val="00CC752B"/>
    <w:rsid w:val="00CD7913"/>
    <w:rsid w:val="00CF357C"/>
    <w:rsid w:val="00CF5B0E"/>
    <w:rsid w:val="00D17BDA"/>
    <w:rsid w:val="00D374E8"/>
    <w:rsid w:val="00D4432D"/>
    <w:rsid w:val="00D543E3"/>
    <w:rsid w:val="00D55FC5"/>
    <w:rsid w:val="00D644E6"/>
    <w:rsid w:val="00D7342F"/>
    <w:rsid w:val="00D96D91"/>
    <w:rsid w:val="00DA3ECE"/>
    <w:rsid w:val="00DB549C"/>
    <w:rsid w:val="00DD4638"/>
    <w:rsid w:val="00DD55CA"/>
    <w:rsid w:val="00DE63B8"/>
    <w:rsid w:val="00DF3EEC"/>
    <w:rsid w:val="00E13E46"/>
    <w:rsid w:val="00E15453"/>
    <w:rsid w:val="00E237D6"/>
    <w:rsid w:val="00E252A3"/>
    <w:rsid w:val="00E34E64"/>
    <w:rsid w:val="00E4662B"/>
    <w:rsid w:val="00E47570"/>
    <w:rsid w:val="00E67EA9"/>
    <w:rsid w:val="00E73977"/>
    <w:rsid w:val="00EB7DA7"/>
    <w:rsid w:val="00ED4A98"/>
    <w:rsid w:val="00EE657D"/>
    <w:rsid w:val="00EF166C"/>
    <w:rsid w:val="00EF19D7"/>
    <w:rsid w:val="00EF5DF7"/>
    <w:rsid w:val="00F06617"/>
    <w:rsid w:val="00F31ACB"/>
    <w:rsid w:val="00F47EEF"/>
    <w:rsid w:val="00F5247D"/>
    <w:rsid w:val="00F71D8E"/>
    <w:rsid w:val="00FA15A1"/>
    <w:rsid w:val="00FA2269"/>
    <w:rsid w:val="00FF2C82"/>
    <w:rsid w:val="00FF7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39958C"/>
  <w15:chartTrackingRefBased/>
  <w15:docId w15:val="{627C61D5-EEAA-4F93-81F8-FE8E4E68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rsid w:val="000220B4"/>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759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D7598"/>
    <w:rPr>
      <w:rFonts w:ascii="Tahoma" w:hAnsi="Tahoma" w:cs="Tahoma"/>
      <w:sz w:val="16"/>
      <w:szCs w:val="16"/>
    </w:rPr>
  </w:style>
  <w:style w:type="paragraph" w:styleId="En-tte">
    <w:name w:val="header"/>
    <w:basedOn w:val="Normal"/>
    <w:link w:val="En-tteCar"/>
    <w:uiPriority w:val="99"/>
    <w:unhideWhenUsed/>
    <w:rsid w:val="00AD7598"/>
    <w:pPr>
      <w:tabs>
        <w:tab w:val="center" w:pos="4536"/>
        <w:tab w:val="right" w:pos="9072"/>
      </w:tabs>
      <w:spacing w:after="0" w:line="240" w:lineRule="auto"/>
    </w:pPr>
  </w:style>
  <w:style w:type="character" w:customStyle="1" w:styleId="En-tteCar">
    <w:name w:val="En-tête Car"/>
    <w:basedOn w:val="Policepardfaut"/>
    <w:link w:val="En-tte"/>
    <w:uiPriority w:val="99"/>
    <w:rsid w:val="00AD7598"/>
  </w:style>
  <w:style w:type="paragraph" w:styleId="Pieddepage">
    <w:name w:val="footer"/>
    <w:basedOn w:val="Normal"/>
    <w:link w:val="PieddepageCar"/>
    <w:uiPriority w:val="99"/>
    <w:unhideWhenUsed/>
    <w:rsid w:val="00AD75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598"/>
  </w:style>
  <w:style w:type="character" w:styleId="Lienhypertexte">
    <w:name w:val="Hyperlink"/>
    <w:unhideWhenUsed/>
    <w:rsid w:val="000F5106"/>
    <w:rPr>
      <w:color w:val="0000FF"/>
      <w:u w:val="single"/>
    </w:rPr>
  </w:style>
  <w:style w:type="paragraph" w:styleId="Retraitcorpsdetexte">
    <w:name w:val="Body Text Indent"/>
    <w:basedOn w:val="Normal"/>
    <w:link w:val="RetraitcorpsdetexteCar"/>
    <w:rsid w:val="000220B4"/>
    <w:pPr>
      <w:spacing w:after="240" w:line="240" w:lineRule="auto"/>
      <w:jc w:val="both"/>
    </w:pPr>
    <w:rPr>
      <w:rFonts w:ascii="Times New Roman" w:hAnsi="Times New Roman"/>
      <w:szCs w:val="24"/>
    </w:rPr>
  </w:style>
  <w:style w:type="character" w:customStyle="1" w:styleId="RetraitcorpsdetexteCar">
    <w:name w:val="Retrait corps de texte Car"/>
    <w:link w:val="Retraitcorpsdetexte"/>
    <w:rsid w:val="000220B4"/>
    <w:rPr>
      <w:rFonts w:ascii="Times New Roman" w:hAnsi="Times New Roman"/>
      <w:sz w:val="22"/>
      <w:szCs w:val="24"/>
    </w:rPr>
  </w:style>
  <w:style w:type="paragraph" w:customStyle="1" w:styleId="Arrt">
    <w:name w:val="Arrêté"/>
    <w:basedOn w:val="Normal"/>
    <w:rsid w:val="000220B4"/>
    <w:pPr>
      <w:spacing w:after="180" w:line="240" w:lineRule="auto"/>
      <w:jc w:val="both"/>
    </w:pPr>
    <w:rPr>
      <w:rFonts w:ascii="Garamond" w:hAnsi="Garamond"/>
    </w:rPr>
  </w:style>
  <w:style w:type="paragraph" w:customStyle="1" w:styleId="StyleTitre1Avant42525pt">
    <w:name w:val="Style Titre 1 + Avant : 42525 pt"/>
    <w:basedOn w:val="Titre1"/>
    <w:rsid w:val="000220B4"/>
    <w:pPr>
      <w:pageBreakBefore/>
      <w:spacing w:before="6000" w:after="640" w:line="240" w:lineRule="auto"/>
    </w:pPr>
    <w:rPr>
      <w:rFonts w:ascii="Times New Roman" w:hAnsi="Times New Roman"/>
      <w:kern w:val="0"/>
      <w:sz w:val="44"/>
      <w:szCs w:val="20"/>
    </w:rPr>
  </w:style>
  <w:style w:type="character" w:customStyle="1" w:styleId="Titre1Car">
    <w:name w:val="Titre 1 Car"/>
    <w:link w:val="Titre1"/>
    <w:uiPriority w:val="9"/>
    <w:rsid w:val="000220B4"/>
    <w:rPr>
      <w:rFonts w:ascii="Cambria" w:eastAsia="Times New Roman" w:hAnsi="Cambria" w:cs="Times New Roman"/>
      <w:b/>
      <w:bCs/>
      <w:kern w:val="32"/>
      <w:sz w:val="32"/>
      <w:szCs w:val="32"/>
    </w:rPr>
  </w:style>
  <w:style w:type="paragraph" w:styleId="Corpsdetexte">
    <w:name w:val="Body Text"/>
    <w:basedOn w:val="Normal"/>
    <w:link w:val="CorpsdetexteCar"/>
    <w:uiPriority w:val="99"/>
    <w:semiHidden/>
    <w:unhideWhenUsed/>
    <w:rsid w:val="00282B0A"/>
    <w:pPr>
      <w:spacing w:after="120"/>
    </w:pPr>
  </w:style>
  <w:style w:type="character" w:customStyle="1" w:styleId="CorpsdetexteCar">
    <w:name w:val="Corps de texte Car"/>
    <w:link w:val="Corpsdetexte"/>
    <w:uiPriority w:val="99"/>
    <w:semiHidden/>
    <w:rsid w:val="00282B0A"/>
    <w:rPr>
      <w:sz w:val="22"/>
      <w:szCs w:val="22"/>
    </w:rPr>
  </w:style>
  <w:style w:type="character" w:styleId="Marquedecommentaire">
    <w:name w:val="annotation reference"/>
    <w:uiPriority w:val="99"/>
    <w:semiHidden/>
    <w:unhideWhenUsed/>
    <w:rsid w:val="00173052"/>
    <w:rPr>
      <w:sz w:val="16"/>
      <w:szCs w:val="16"/>
    </w:rPr>
  </w:style>
  <w:style w:type="paragraph" w:styleId="Commentaire">
    <w:name w:val="annotation text"/>
    <w:basedOn w:val="Normal"/>
    <w:link w:val="CommentaireCar"/>
    <w:uiPriority w:val="99"/>
    <w:semiHidden/>
    <w:unhideWhenUsed/>
    <w:rsid w:val="00173052"/>
    <w:rPr>
      <w:sz w:val="20"/>
      <w:szCs w:val="20"/>
    </w:rPr>
  </w:style>
  <w:style w:type="character" w:customStyle="1" w:styleId="CommentaireCar">
    <w:name w:val="Commentaire Car"/>
    <w:basedOn w:val="Policepardfaut"/>
    <w:link w:val="Commentaire"/>
    <w:uiPriority w:val="99"/>
    <w:semiHidden/>
    <w:rsid w:val="00173052"/>
  </w:style>
  <w:style w:type="paragraph" w:styleId="Objetducommentaire">
    <w:name w:val="annotation subject"/>
    <w:basedOn w:val="Commentaire"/>
    <w:next w:val="Commentaire"/>
    <w:link w:val="ObjetducommentaireCar"/>
    <w:uiPriority w:val="99"/>
    <w:semiHidden/>
    <w:unhideWhenUsed/>
    <w:rsid w:val="00173052"/>
    <w:rPr>
      <w:b/>
      <w:bCs/>
    </w:rPr>
  </w:style>
  <w:style w:type="character" w:customStyle="1" w:styleId="ObjetducommentaireCar">
    <w:name w:val="Objet du commentaire Car"/>
    <w:link w:val="Objetducommentaire"/>
    <w:uiPriority w:val="99"/>
    <w:semiHidden/>
    <w:rsid w:val="00173052"/>
    <w:rPr>
      <w:b/>
      <w:bCs/>
    </w:rPr>
  </w:style>
  <w:style w:type="table" w:styleId="Grilledutableau">
    <w:name w:val="Table Grid"/>
    <w:basedOn w:val="TableauNormal"/>
    <w:uiPriority w:val="59"/>
    <w:rsid w:val="00E3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24255"/>
    <w:pPr>
      <w:spacing w:after="160" w:line="259" w:lineRule="auto"/>
      <w:ind w:left="720"/>
      <w:contextualSpacing/>
    </w:pPr>
    <w:rPr>
      <w:rFonts w:asciiTheme="minorHAnsi" w:eastAsiaTheme="minorHAnsi" w:hAnsiTheme="minorHAnsi" w:cstheme="minorBidi"/>
      <w:lang w:eastAsia="en-US"/>
    </w:rPr>
  </w:style>
  <w:style w:type="character" w:styleId="lev">
    <w:name w:val="Strong"/>
    <w:basedOn w:val="Policepardfaut"/>
    <w:uiPriority w:val="22"/>
    <w:qFormat/>
    <w:rsid w:val="00BB3468"/>
    <w:rPr>
      <w:b/>
      <w:bCs/>
    </w:rPr>
  </w:style>
  <w:style w:type="character" w:customStyle="1" w:styleId="Mentionnonrsolue1">
    <w:name w:val="Mention non résolue1"/>
    <w:basedOn w:val="Policepardfaut"/>
    <w:uiPriority w:val="99"/>
    <w:semiHidden/>
    <w:unhideWhenUsed/>
    <w:rsid w:val="00FF7688"/>
    <w:rPr>
      <w:color w:val="605E5C"/>
      <w:shd w:val="clear" w:color="auto" w:fill="E1DFDD"/>
    </w:rPr>
  </w:style>
  <w:style w:type="character" w:styleId="Mentionnonrsolue">
    <w:name w:val="Unresolved Mention"/>
    <w:basedOn w:val="Policepardfaut"/>
    <w:uiPriority w:val="99"/>
    <w:semiHidden/>
    <w:unhideWhenUsed/>
    <w:rsid w:val="00461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ie.polet@univ-perp.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upvd.univ-perp.fr\Groups\GT\GT-VP\1%20VP%20Recherche\HDR\guisset@univ-perp.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D69C3-9EB5-431E-B439-CB3F3DC8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1870</Words>
  <Characters>10286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12132</CharactersWithSpaces>
  <SharedDoc>false</SharedDoc>
  <HLinks>
    <vt:vector size="6" baseType="variant">
      <vt:variant>
        <vt:i4>917561</vt:i4>
      </vt:variant>
      <vt:variant>
        <vt:i4>0</vt:i4>
      </vt:variant>
      <vt:variant>
        <vt:i4>0</vt:i4>
      </vt:variant>
      <vt:variant>
        <vt:i4>5</vt:i4>
      </vt:variant>
      <vt:variant>
        <vt:lpwstr>mailto:emilie.vegara@univ-perp.fr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Vegara Emilie</cp:lastModifiedBy>
  <cp:revision>3</cp:revision>
  <cp:lastPrinted>2022-06-20T11:56:00Z</cp:lastPrinted>
  <dcterms:created xsi:type="dcterms:W3CDTF">2026-02-23T14:16:00Z</dcterms:created>
  <dcterms:modified xsi:type="dcterms:W3CDTF">2026-02-23T14:17:00Z</dcterms:modified>
</cp:coreProperties>
</file>